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3F20E" w14:textId="3CE628B7" w:rsidR="00510B92" w:rsidRPr="00CA04A7" w:rsidRDefault="00A715F8" w:rsidP="00A715F8">
      <w:pPr>
        <w:spacing w:after="0"/>
        <w:jc w:val="center"/>
        <w:rPr>
          <w:rFonts w:ascii="Arial" w:hAnsi="Arial" w:cs="Arial"/>
          <w:b/>
          <w:bCs/>
          <w:sz w:val="28"/>
          <w:szCs w:val="28"/>
        </w:rPr>
      </w:pPr>
      <w:r>
        <w:rPr>
          <w:rFonts w:ascii="Arial" w:hAnsi="Arial" w:cs="Arial"/>
          <w:b/>
          <w:bCs/>
          <w:sz w:val="28"/>
          <w:szCs w:val="28"/>
        </w:rPr>
        <w:t>Tioga County Property Development Corporation (TCPDC)</w:t>
      </w:r>
      <w:r w:rsidR="00D117F8">
        <w:rPr>
          <w:rFonts w:ascii="Arial" w:hAnsi="Arial" w:cs="Arial"/>
          <w:b/>
          <w:bCs/>
          <w:sz w:val="28"/>
          <w:szCs w:val="28"/>
        </w:rPr>
        <w:t xml:space="preserve"> – VRP Applicant Roadmap</w:t>
      </w:r>
    </w:p>
    <w:tbl>
      <w:tblPr>
        <w:tblStyle w:val="TableGrid"/>
        <w:tblW w:w="0" w:type="auto"/>
        <w:tblInd w:w="265" w:type="dxa"/>
        <w:tblLook w:val="04A0" w:firstRow="1" w:lastRow="0" w:firstColumn="1" w:lastColumn="0" w:noHBand="0" w:noVBand="1"/>
      </w:tblPr>
      <w:tblGrid>
        <w:gridCol w:w="693"/>
        <w:gridCol w:w="4860"/>
        <w:gridCol w:w="4617"/>
        <w:gridCol w:w="1683"/>
        <w:gridCol w:w="1440"/>
      </w:tblGrid>
      <w:tr w:rsidR="00BB351A" w14:paraId="6E2870A0" w14:textId="77777777" w:rsidTr="00A23D41">
        <w:trPr>
          <w:trHeight w:val="440"/>
        </w:trPr>
        <w:tc>
          <w:tcPr>
            <w:tcW w:w="693" w:type="dxa"/>
            <w:shd w:val="clear" w:color="auto" w:fill="DAE9F7" w:themeFill="text2" w:themeFillTint="1A"/>
            <w:vAlign w:val="center"/>
          </w:tcPr>
          <w:p w14:paraId="2419D8F5" w14:textId="77777777" w:rsidR="00BB351A" w:rsidRDefault="00BB351A" w:rsidP="00693B47">
            <w:pPr>
              <w:pStyle w:val="ListParagraph"/>
              <w:ind w:left="0"/>
              <w:jc w:val="center"/>
              <w:rPr>
                <w:rFonts w:ascii="Arial" w:hAnsi="Arial" w:cs="Arial"/>
                <w:b/>
                <w:bCs/>
                <w:sz w:val="22"/>
                <w:szCs w:val="22"/>
              </w:rPr>
            </w:pPr>
            <w:r>
              <w:rPr>
                <w:rFonts w:ascii="Arial" w:hAnsi="Arial" w:cs="Arial"/>
                <w:b/>
                <w:bCs/>
                <w:sz w:val="22"/>
                <w:szCs w:val="22"/>
              </w:rPr>
              <w:t>Step</w:t>
            </w:r>
          </w:p>
        </w:tc>
        <w:tc>
          <w:tcPr>
            <w:tcW w:w="4860" w:type="dxa"/>
            <w:shd w:val="clear" w:color="auto" w:fill="DAE9F7" w:themeFill="text2" w:themeFillTint="1A"/>
            <w:vAlign w:val="center"/>
          </w:tcPr>
          <w:p w14:paraId="0EA4E8A1" w14:textId="77777777" w:rsidR="00BB351A" w:rsidRDefault="00BB351A" w:rsidP="00693B47">
            <w:pPr>
              <w:pStyle w:val="ListParagraph"/>
              <w:ind w:left="0"/>
              <w:jc w:val="center"/>
              <w:rPr>
                <w:rFonts w:ascii="Arial" w:hAnsi="Arial" w:cs="Arial"/>
                <w:b/>
                <w:bCs/>
                <w:sz w:val="22"/>
                <w:szCs w:val="22"/>
              </w:rPr>
            </w:pPr>
            <w:r>
              <w:rPr>
                <w:rFonts w:ascii="Arial" w:hAnsi="Arial" w:cs="Arial"/>
                <w:b/>
                <w:bCs/>
                <w:sz w:val="22"/>
                <w:szCs w:val="22"/>
              </w:rPr>
              <w:t>Activity</w:t>
            </w:r>
          </w:p>
        </w:tc>
        <w:tc>
          <w:tcPr>
            <w:tcW w:w="4617" w:type="dxa"/>
            <w:shd w:val="clear" w:color="auto" w:fill="DAE9F7" w:themeFill="text2" w:themeFillTint="1A"/>
            <w:vAlign w:val="center"/>
          </w:tcPr>
          <w:p w14:paraId="677D0FC0" w14:textId="06C384E9" w:rsidR="00BB351A" w:rsidRDefault="00BB351A" w:rsidP="00693B47">
            <w:pPr>
              <w:pStyle w:val="ListParagraph"/>
              <w:ind w:left="0"/>
              <w:jc w:val="center"/>
              <w:rPr>
                <w:rFonts w:ascii="Arial" w:hAnsi="Arial" w:cs="Arial"/>
                <w:b/>
                <w:bCs/>
                <w:sz w:val="22"/>
                <w:szCs w:val="22"/>
              </w:rPr>
            </w:pPr>
            <w:r>
              <w:rPr>
                <w:rFonts w:ascii="Arial" w:hAnsi="Arial" w:cs="Arial"/>
                <w:b/>
                <w:bCs/>
                <w:sz w:val="22"/>
                <w:szCs w:val="22"/>
              </w:rPr>
              <w:t>Potential Outcomes</w:t>
            </w:r>
          </w:p>
        </w:tc>
        <w:tc>
          <w:tcPr>
            <w:tcW w:w="1683" w:type="dxa"/>
            <w:shd w:val="clear" w:color="auto" w:fill="DAE9F7" w:themeFill="text2" w:themeFillTint="1A"/>
          </w:tcPr>
          <w:p w14:paraId="32956DD3" w14:textId="11F97ED8" w:rsidR="00BB351A" w:rsidRDefault="00932A94" w:rsidP="00693B47">
            <w:pPr>
              <w:pStyle w:val="ListParagraph"/>
              <w:ind w:left="0"/>
              <w:jc w:val="center"/>
              <w:rPr>
                <w:rFonts w:ascii="Arial" w:hAnsi="Arial" w:cs="Arial"/>
                <w:b/>
                <w:bCs/>
                <w:sz w:val="22"/>
                <w:szCs w:val="22"/>
              </w:rPr>
            </w:pPr>
            <w:r>
              <w:rPr>
                <w:rFonts w:ascii="Arial" w:hAnsi="Arial" w:cs="Arial"/>
                <w:b/>
                <w:bCs/>
                <w:sz w:val="22"/>
                <w:szCs w:val="22"/>
              </w:rPr>
              <w:t xml:space="preserve">Target </w:t>
            </w:r>
            <w:r w:rsidR="002F291C">
              <w:rPr>
                <w:rFonts w:ascii="Arial" w:hAnsi="Arial" w:cs="Arial"/>
                <w:b/>
                <w:bCs/>
                <w:sz w:val="22"/>
                <w:szCs w:val="22"/>
              </w:rPr>
              <w:t>Timeframe</w:t>
            </w:r>
          </w:p>
        </w:tc>
        <w:tc>
          <w:tcPr>
            <w:tcW w:w="1440" w:type="dxa"/>
            <w:shd w:val="clear" w:color="auto" w:fill="DAE9F7" w:themeFill="text2" w:themeFillTint="1A"/>
            <w:vAlign w:val="center"/>
          </w:tcPr>
          <w:p w14:paraId="43D2197C" w14:textId="7989B298" w:rsidR="00BB351A" w:rsidRDefault="00BB351A" w:rsidP="00693B47">
            <w:pPr>
              <w:pStyle w:val="ListParagraph"/>
              <w:ind w:left="0"/>
              <w:jc w:val="center"/>
              <w:rPr>
                <w:rFonts w:ascii="Arial" w:hAnsi="Arial" w:cs="Arial"/>
                <w:b/>
                <w:bCs/>
                <w:sz w:val="22"/>
                <w:szCs w:val="22"/>
              </w:rPr>
            </w:pPr>
            <w:r>
              <w:rPr>
                <w:rFonts w:ascii="Arial" w:hAnsi="Arial" w:cs="Arial"/>
                <w:b/>
                <w:bCs/>
                <w:sz w:val="22"/>
                <w:szCs w:val="22"/>
              </w:rPr>
              <w:t>Costs</w:t>
            </w:r>
          </w:p>
        </w:tc>
      </w:tr>
      <w:tr w:rsidR="00397D31" w14:paraId="35A5E768" w14:textId="77777777" w:rsidTr="00D117F8">
        <w:trPr>
          <w:trHeight w:val="1232"/>
        </w:trPr>
        <w:tc>
          <w:tcPr>
            <w:tcW w:w="693" w:type="dxa"/>
            <w:vAlign w:val="center"/>
          </w:tcPr>
          <w:p w14:paraId="2075AE60" w14:textId="77777777" w:rsidR="00397D31" w:rsidRPr="00F05CBF" w:rsidRDefault="00397D31" w:rsidP="00397D31">
            <w:pPr>
              <w:pStyle w:val="ListParagraph"/>
              <w:ind w:left="0"/>
              <w:jc w:val="center"/>
              <w:rPr>
                <w:rFonts w:ascii="Arial" w:hAnsi="Arial" w:cs="Arial"/>
                <w:b/>
                <w:bCs/>
                <w:sz w:val="28"/>
                <w:szCs w:val="28"/>
              </w:rPr>
            </w:pPr>
            <w:r w:rsidRPr="00F05CBF">
              <w:rPr>
                <w:rFonts w:ascii="Arial" w:hAnsi="Arial" w:cs="Arial"/>
                <w:b/>
                <w:bCs/>
                <w:sz w:val="28"/>
                <w:szCs w:val="28"/>
              </w:rPr>
              <w:t>1</w:t>
            </w:r>
          </w:p>
        </w:tc>
        <w:tc>
          <w:tcPr>
            <w:tcW w:w="4860" w:type="dxa"/>
            <w:vAlign w:val="center"/>
          </w:tcPr>
          <w:p w14:paraId="5DAF6347" w14:textId="4FC7F3C3" w:rsidR="00397D31" w:rsidRPr="00E00FD4" w:rsidRDefault="00C951E6" w:rsidP="00397D31">
            <w:pPr>
              <w:pStyle w:val="ListParagraph"/>
              <w:ind w:left="0"/>
              <w:rPr>
                <w:rFonts w:ascii="Arial" w:hAnsi="Arial" w:cs="Arial"/>
                <w:sz w:val="18"/>
                <w:szCs w:val="18"/>
              </w:rPr>
            </w:pPr>
            <w:r w:rsidRPr="00C951E6">
              <w:rPr>
                <w:rFonts w:ascii="Arial" w:hAnsi="Arial" w:cs="Arial"/>
                <w:b/>
                <w:bCs/>
                <w:sz w:val="18"/>
                <w:szCs w:val="18"/>
              </w:rPr>
              <w:t xml:space="preserve">Application Submission </w:t>
            </w:r>
            <w:r w:rsidR="00A715F8">
              <w:rPr>
                <w:rFonts w:ascii="Arial" w:hAnsi="Arial" w:cs="Arial"/>
                <w:b/>
                <w:bCs/>
                <w:sz w:val="18"/>
                <w:szCs w:val="18"/>
              </w:rPr>
              <w:br/>
            </w:r>
            <w:r w:rsidRPr="00A715F8">
              <w:rPr>
                <w:rFonts w:ascii="Arial" w:hAnsi="Arial" w:cs="Arial"/>
                <w:sz w:val="18"/>
                <w:szCs w:val="18"/>
              </w:rPr>
              <w:t xml:space="preserve">Applicant submits a completed </w:t>
            </w:r>
            <w:r w:rsidR="00A715F8" w:rsidRPr="00A715F8">
              <w:rPr>
                <w:rFonts w:ascii="Arial" w:hAnsi="Arial" w:cs="Arial"/>
                <w:sz w:val="18"/>
                <w:szCs w:val="18"/>
              </w:rPr>
              <w:t>application,</w:t>
            </w:r>
            <w:r w:rsidRPr="00A715F8">
              <w:rPr>
                <w:rFonts w:ascii="Arial" w:hAnsi="Arial" w:cs="Arial"/>
                <w:sz w:val="18"/>
                <w:szCs w:val="18"/>
              </w:rPr>
              <w:t xml:space="preserve"> and all required supporting documentation to the Tioga County Property Development Corporation (TCPDC).</w:t>
            </w:r>
          </w:p>
        </w:tc>
        <w:tc>
          <w:tcPr>
            <w:tcW w:w="4617" w:type="dxa"/>
            <w:vAlign w:val="center"/>
          </w:tcPr>
          <w:p w14:paraId="66005F02" w14:textId="4028BC2E" w:rsidR="005F57FA" w:rsidRPr="005F57FA" w:rsidRDefault="005F57FA" w:rsidP="005F57FA">
            <w:pPr>
              <w:pStyle w:val="ListParagraph"/>
              <w:numPr>
                <w:ilvl w:val="0"/>
                <w:numId w:val="28"/>
              </w:numPr>
              <w:rPr>
                <w:rFonts w:ascii="Arial" w:hAnsi="Arial" w:cs="Arial"/>
                <w:sz w:val="18"/>
                <w:szCs w:val="18"/>
              </w:rPr>
            </w:pPr>
            <w:r w:rsidRPr="005F57FA">
              <w:rPr>
                <w:rFonts w:ascii="Arial" w:hAnsi="Arial" w:cs="Arial"/>
                <w:sz w:val="18"/>
                <w:szCs w:val="18"/>
              </w:rPr>
              <w:t>If the application is incomplete, TCPDC will notify the applicant of missing information. The applicant will have 10 business days to provide the required documentation. Failure to meet the deadline may result in denial.</w:t>
            </w:r>
            <w:r>
              <w:rPr>
                <w:rFonts w:ascii="Arial" w:hAnsi="Arial" w:cs="Arial"/>
                <w:sz w:val="18"/>
                <w:szCs w:val="18"/>
              </w:rPr>
              <w:br/>
            </w:r>
            <w:r>
              <w:rPr>
                <w:rFonts w:ascii="Arial" w:hAnsi="Arial" w:cs="Arial"/>
                <w:sz w:val="18"/>
                <w:szCs w:val="18"/>
              </w:rPr>
              <w:br/>
              <w:t>OR</w:t>
            </w:r>
            <w:r>
              <w:rPr>
                <w:rFonts w:ascii="Arial" w:hAnsi="Arial" w:cs="Arial"/>
                <w:sz w:val="18"/>
                <w:szCs w:val="18"/>
              </w:rPr>
              <w:br/>
            </w:r>
          </w:p>
          <w:p w14:paraId="2C8082CC" w14:textId="59E28E4E" w:rsidR="00397D31" w:rsidRPr="005F57FA" w:rsidRDefault="005F57FA" w:rsidP="005F57FA">
            <w:pPr>
              <w:pStyle w:val="ListParagraph"/>
              <w:numPr>
                <w:ilvl w:val="0"/>
                <w:numId w:val="28"/>
              </w:numPr>
              <w:rPr>
                <w:rFonts w:ascii="Arial" w:hAnsi="Arial" w:cs="Arial"/>
                <w:sz w:val="18"/>
                <w:szCs w:val="18"/>
              </w:rPr>
            </w:pPr>
            <w:r w:rsidRPr="005F57FA">
              <w:rPr>
                <w:rFonts w:ascii="Arial" w:hAnsi="Arial" w:cs="Arial"/>
                <w:sz w:val="18"/>
                <w:szCs w:val="18"/>
              </w:rPr>
              <w:t>If the application is complete, proceed to Step 2.</w:t>
            </w:r>
          </w:p>
        </w:tc>
        <w:tc>
          <w:tcPr>
            <w:tcW w:w="1683" w:type="dxa"/>
            <w:vAlign w:val="center"/>
          </w:tcPr>
          <w:p w14:paraId="2CF45A25" w14:textId="4A93AFB6" w:rsidR="00397D31" w:rsidRPr="00E00FD4" w:rsidRDefault="00C951E6" w:rsidP="005F57FA">
            <w:pPr>
              <w:pStyle w:val="ListParagraph"/>
              <w:ind w:left="0"/>
              <w:rPr>
                <w:rFonts w:ascii="Arial" w:hAnsi="Arial" w:cs="Arial"/>
                <w:sz w:val="18"/>
                <w:szCs w:val="18"/>
              </w:rPr>
            </w:pPr>
            <w:r w:rsidRPr="00C951E6">
              <w:rPr>
                <w:rFonts w:ascii="Arial" w:hAnsi="Arial" w:cs="Arial"/>
                <w:sz w:val="18"/>
                <w:szCs w:val="18"/>
              </w:rPr>
              <w:t xml:space="preserve">Notice of incomplete </w:t>
            </w:r>
            <w:r w:rsidRPr="00A715F8">
              <w:rPr>
                <w:rFonts w:ascii="Arial" w:hAnsi="Arial" w:cs="Arial"/>
                <w:sz w:val="18"/>
                <w:szCs w:val="18"/>
              </w:rPr>
              <w:t>application within 30 days</w:t>
            </w:r>
            <w:r w:rsidRPr="00C951E6">
              <w:rPr>
                <w:rFonts w:ascii="Arial" w:hAnsi="Arial" w:cs="Arial"/>
                <w:sz w:val="18"/>
                <w:szCs w:val="18"/>
              </w:rPr>
              <w:t xml:space="preserve"> of the application deadline.</w:t>
            </w:r>
          </w:p>
        </w:tc>
        <w:tc>
          <w:tcPr>
            <w:tcW w:w="1440" w:type="dxa"/>
            <w:vAlign w:val="center"/>
          </w:tcPr>
          <w:p w14:paraId="59268414" w14:textId="5FD68FAE" w:rsidR="00397D31" w:rsidRPr="00E00FD4" w:rsidRDefault="00C951E6" w:rsidP="005F57FA">
            <w:pPr>
              <w:pStyle w:val="ListParagraph"/>
              <w:ind w:left="0"/>
              <w:rPr>
                <w:rFonts w:ascii="Arial" w:hAnsi="Arial" w:cs="Arial"/>
                <w:sz w:val="18"/>
                <w:szCs w:val="18"/>
              </w:rPr>
            </w:pPr>
            <w:r>
              <w:rPr>
                <w:rFonts w:ascii="Arial" w:hAnsi="Arial" w:cs="Arial"/>
                <w:sz w:val="18"/>
                <w:szCs w:val="18"/>
              </w:rPr>
              <w:t>None to Applicant</w:t>
            </w:r>
          </w:p>
        </w:tc>
      </w:tr>
      <w:tr w:rsidR="00397D31" w14:paraId="13FC4E8F" w14:textId="77777777" w:rsidTr="00D117F8">
        <w:trPr>
          <w:trHeight w:val="720"/>
        </w:trPr>
        <w:tc>
          <w:tcPr>
            <w:tcW w:w="693" w:type="dxa"/>
            <w:shd w:val="clear" w:color="auto" w:fill="F4EDF9"/>
            <w:vAlign w:val="center"/>
          </w:tcPr>
          <w:p w14:paraId="7E91187D" w14:textId="20D04AAD" w:rsidR="00397D31" w:rsidRPr="00B379DA" w:rsidRDefault="00397D31" w:rsidP="00397D31">
            <w:pPr>
              <w:pStyle w:val="ListParagraph"/>
              <w:ind w:left="0"/>
              <w:jc w:val="center"/>
              <w:rPr>
                <w:rFonts w:ascii="Arial" w:hAnsi="Arial" w:cs="Arial"/>
                <w:sz w:val="28"/>
                <w:szCs w:val="28"/>
              </w:rPr>
            </w:pPr>
            <w:r w:rsidRPr="00B379DA">
              <w:rPr>
                <w:rFonts w:ascii="Arial" w:hAnsi="Arial" w:cs="Arial"/>
                <w:sz w:val="28"/>
                <w:szCs w:val="28"/>
              </w:rPr>
              <w:t>2</w:t>
            </w:r>
          </w:p>
        </w:tc>
        <w:tc>
          <w:tcPr>
            <w:tcW w:w="4860" w:type="dxa"/>
            <w:shd w:val="clear" w:color="auto" w:fill="F4EDF9"/>
            <w:vAlign w:val="center"/>
          </w:tcPr>
          <w:p w14:paraId="1F658154" w14:textId="50137D96" w:rsidR="00397D31" w:rsidRPr="00B379DA" w:rsidRDefault="00C951E6" w:rsidP="00397D31">
            <w:pPr>
              <w:pStyle w:val="ListParagraph"/>
              <w:ind w:left="0"/>
              <w:rPr>
                <w:rFonts w:ascii="Arial" w:hAnsi="Arial" w:cs="Arial"/>
                <w:sz w:val="18"/>
                <w:szCs w:val="18"/>
              </w:rPr>
            </w:pPr>
            <w:r w:rsidRPr="00C951E6">
              <w:rPr>
                <w:rFonts w:ascii="Arial" w:hAnsi="Arial" w:cs="Arial"/>
                <w:b/>
                <w:bCs/>
                <w:sz w:val="18"/>
                <w:szCs w:val="18"/>
              </w:rPr>
              <w:t xml:space="preserve">Application Eligibility Review </w:t>
            </w:r>
            <w:r w:rsidR="00A715F8">
              <w:rPr>
                <w:rFonts w:ascii="Arial" w:hAnsi="Arial" w:cs="Arial"/>
                <w:b/>
                <w:bCs/>
                <w:sz w:val="18"/>
                <w:szCs w:val="18"/>
              </w:rPr>
              <w:br/>
            </w:r>
            <w:r w:rsidRPr="00A715F8">
              <w:rPr>
                <w:rFonts w:ascii="Arial" w:hAnsi="Arial" w:cs="Arial"/>
                <w:sz w:val="18"/>
                <w:szCs w:val="18"/>
              </w:rPr>
              <w:t xml:space="preserve">TCPDC conducts a preliminary eligibility review including, but not limited to: property eligibility, vacancy status, owner eligibility, responsible owner requirements, </w:t>
            </w:r>
            <w:r w:rsidR="002F03C4">
              <w:rPr>
                <w:rFonts w:ascii="Arial" w:hAnsi="Arial" w:cs="Arial"/>
                <w:sz w:val="18"/>
                <w:szCs w:val="18"/>
              </w:rPr>
              <w:t xml:space="preserve">floodplain status, </w:t>
            </w:r>
            <w:r w:rsidRPr="00A715F8">
              <w:rPr>
                <w:rFonts w:ascii="Arial" w:hAnsi="Arial" w:cs="Arial"/>
                <w:sz w:val="18"/>
                <w:szCs w:val="18"/>
              </w:rPr>
              <w:t>requested rehabilitation activities, and program compliance.</w:t>
            </w:r>
          </w:p>
        </w:tc>
        <w:tc>
          <w:tcPr>
            <w:tcW w:w="4617" w:type="dxa"/>
            <w:shd w:val="clear" w:color="auto" w:fill="F4EDF9"/>
            <w:vAlign w:val="center"/>
          </w:tcPr>
          <w:p w14:paraId="6A48344A" w14:textId="02F81876" w:rsidR="005F57FA" w:rsidRDefault="00C951E6" w:rsidP="005F57FA">
            <w:pPr>
              <w:pStyle w:val="ListParagraph"/>
              <w:numPr>
                <w:ilvl w:val="0"/>
                <w:numId w:val="29"/>
              </w:numPr>
              <w:rPr>
                <w:rFonts w:ascii="Arial" w:hAnsi="Arial" w:cs="Arial"/>
                <w:sz w:val="18"/>
                <w:szCs w:val="18"/>
              </w:rPr>
            </w:pPr>
            <w:r w:rsidRPr="005F57FA">
              <w:rPr>
                <w:rFonts w:ascii="Arial" w:hAnsi="Arial" w:cs="Arial"/>
                <w:sz w:val="18"/>
                <w:szCs w:val="18"/>
              </w:rPr>
              <w:t>If the owner, property, or proposed project is determined to be ineligible, the application will be denied in writing.</w:t>
            </w:r>
            <w:r w:rsidR="005F57FA">
              <w:rPr>
                <w:rFonts w:ascii="Arial" w:hAnsi="Arial" w:cs="Arial"/>
                <w:sz w:val="18"/>
                <w:szCs w:val="18"/>
              </w:rPr>
              <w:br/>
            </w:r>
            <w:r w:rsidR="005F57FA">
              <w:rPr>
                <w:rFonts w:ascii="Arial" w:hAnsi="Arial" w:cs="Arial"/>
                <w:sz w:val="18"/>
                <w:szCs w:val="18"/>
              </w:rPr>
              <w:br/>
              <w:t>OR</w:t>
            </w:r>
            <w:r w:rsidR="005F57FA">
              <w:rPr>
                <w:rFonts w:ascii="Arial" w:hAnsi="Arial" w:cs="Arial"/>
                <w:sz w:val="18"/>
                <w:szCs w:val="18"/>
              </w:rPr>
              <w:br/>
            </w:r>
          </w:p>
          <w:p w14:paraId="141F2831" w14:textId="356E79EC" w:rsidR="00397D31" w:rsidRPr="005F57FA" w:rsidRDefault="00C951E6" w:rsidP="005F57FA">
            <w:pPr>
              <w:pStyle w:val="ListParagraph"/>
              <w:numPr>
                <w:ilvl w:val="0"/>
                <w:numId w:val="29"/>
              </w:numPr>
              <w:rPr>
                <w:rFonts w:ascii="Arial" w:hAnsi="Arial" w:cs="Arial"/>
                <w:sz w:val="18"/>
                <w:szCs w:val="18"/>
              </w:rPr>
            </w:pPr>
            <w:r w:rsidRPr="005F57FA">
              <w:rPr>
                <w:rFonts w:ascii="Arial" w:hAnsi="Arial" w:cs="Arial"/>
                <w:sz w:val="18"/>
                <w:szCs w:val="18"/>
              </w:rPr>
              <w:t>If eligible, proceed to Step 3.</w:t>
            </w:r>
          </w:p>
        </w:tc>
        <w:tc>
          <w:tcPr>
            <w:tcW w:w="1683" w:type="dxa"/>
            <w:shd w:val="clear" w:color="auto" w:fill="F4EDF9"/>
            <w:vAlign w:val="center"/>
          </w:tcPr>
          <w:p w14:paraId="635970CD" w14:textId="3C512C17" w:rsidR="00397D31" w:rsidRPr="00E00FD4" w:rsidRDefault="00C951E6" w:rsidP="005F57FA">
            <w:pPr>
              <w:pStyle w:val="ListParagraph"/>
              <w:ind w:left="0"/>
              <w:rPr>
                <w:rFonts w:ascii="Arial" w:hAnsi="Arial" w:cs="Arial"/>
                <w:sz w:val="18"/>
                <w:szCs w:val="18"/>
              </w:rPr>
            </w:pPr>
            <w:r w:rsidRPr="00C951E6">
              <w:rPr>
                <w:rFonts w:ascii="Arial" w:hAnsi="Arial" w:cs="Arial"/>
                <w:sz w:val="18"/>
                <w:szCs w:val="18"/>
              </w:rPr>
              <w:t xml:space="preserve">Eligibility determination within </w:t>
            </w:r>
            <w:r w:rsidRPr="00A715F8">
              <w:rPr>
                <w:rFonts w:ascii="Arial" w:hAnsi="Arial" w:cs="Arial"/>
                <w:sz w:val="18"/>
                <w:szCs w:val="18"/>
              </w:rPr>
              <w:t>30 days</w:t>
            </w:r>
            <w:r w:rsidRPr="00C951E6">
              <w:rPr>
                <w:rFonts w:ascii="Arial" w:hAnsi="Arial" w:cs="Arial"/>
                <w:sz w:val="18"/>
                <w:szCs w:val="18"/>
              </w:rPr>
              <w:t xml:space="preserve"> of the application deadline.</w:t>
            </w:r>
          </w:p>
        </w:tc>
        <w:tc>
          <w:tcPr>
            <w:tcW w:w="1440" w:type="dxa"/>
            <w:shd w:val="clear" w:color="auto" w:fill="F4EDF9"/>
            <w:vAlign w:val="center"/>
          </w:tcPr>
          <w:p w14:paraId="0A55ADE1" w14:textId="3AE5E9CA" w:rsidR="00397D31" w:rsidRPr="00E00FD4" w:rsidRDefault="00C951E6" w:rsidP="005F57FA">
            <w:pPr>
              <w:pStyle w:val="ListParagraph"/>
              <w:ind w:left="0"/>
              <w:rPr>
                <w:rFonts w:ascii="Arial" w:hAnsi="Arial" w:cs="Arial"/>
                <w:sz w:val="18"/>
                <w:szCs w:val="18"/>
              </w:rPr>
            </w:pPr>
            <w:r>
              <w:rPr>
                <w:rFonts w:ascii="Arial" w:hAnsi="Arial" w:cs="Arial"/>
                <w:sz w:val="18"/>
                <w:szCs w:val="18"/>
              </w:rPr>
              <w:t>None to Applicant</w:t>
            </w:r>
          </w:p>
        </w:tc>
      </w:tr>
      <w:tr w:rsidR="00397D31" w14:paraId="49128579" w14:textId="77777777" w:rsidTr="00D117F8">
        <w:trPr>
          <w:trHeight w:val="720"/>
        </w:trPr>
        <w:tc>
          <w:tcPr>
            <w:tcW w:w="693" w:type="dxa"/>
            <w:vAlign w:val="center"/>
          </w:tcPr>
          <w:p w14:paraId="6ECB091A" w14:textId="1AF42F0E" w:rsidR="00397D31" w:rsidRPr="00F05CBF" w:rsidRDefault="00397D31" w:rsidP="00397D31">
            <w:pPr>
              <w:pStyle w:val="ListParagraph"/>
              <w:ind w:left="0"/>
              <w:jc w:val="center"/>
              <w:rPr>
                <w:rFonts w:ascii="Arial" w:hAnsi="Arial" w:cs="Arial"/>
                <w:b/>
                <w:bCs/>
                <w:sz w:val="28"/>
                <w:szCs w:val="28"/>
              </w:rPr>
            </w:pPr>
            <w:r>
              <w:rPr>
                <w:rFonts w:ascii="Arial" w:hAnsi="Arial" w:cs="Arial"/>
                <w:b/>
                <w:bCs/>
                <w:sz w:val="28"/>
                <w:szCs w:val="28"/>
              </w:rPr>
              <w:t>3</w:t>
            </w:r>
          </w:p>
        </w:tc>
        <w:tc>
          <w:tcPr>
            <w:tcW w:w="4860" w:type="dxa"/>
            <w:vAlign w:val="center"/>
          </w:tcPr>
          <w:p w14:paraId="7E291F2E" w14:textId="20339C34" w:rsidR="00397D31" w:rsidRPr="00384587" w:rsidRDefault="00C951E6" w:rsidP="00397D31">
            <w:pPr>
              <w:rPr>
                <w:rFonts w:ascii="Arial" w:hAnsi="Arial" w:cs="Arial"/>
                <w:sz w:val="18"/>
                <w:szCs w:val="18"/>
              </w:rPr>
            </w:pPr>
            <w:r w:rsidRPr="00C951E6">
              <w:rPr>
                <w:rFonts w:ascii="Arial" w:hAnsi="Arial" w:cs="Arial"/>
                <w:b/>
                <w:bCs/>
                <w:sz w:val="18"/>
                <w:szCs w:val="18"/>
              </w:rPr>
              <w:t xml:space="preserve">Project Prioritization Assessment </w:t>
            </w:r>
            <w:r w:rsidR="00A715F8">
              <w:rPr>
                <w:rFonts w:ascii="Arial" w:hAnsi="Arial" w:cs="Arial"/>
                <w:b/>
                <w:bCs/>
                <w:sz w:val="18"/>
                <w:szCs w:val="18"/>
              </w:rPr>
              <w:br/>
            </w:r>
            <w:r w:rsidRPr="00A715F8">
              <w:rPr>
                <w:rFonts w:ascii="Arial" w:hAnsi="Arial" w:cs="Arial"/>
                <w:sz w:val="18"/>
                <w:szCs w:val="18"/>
              </w:rPr>
              <w:t>Eligible applications are prioritized based upon NYS program requirements and TCPDC priorities, including small landlord preference, project readiness, housing need, number of rental units, affordability, and available funding.</w:t>
            </w:r>
          </w:p>
        </w:tc>
        <w:tc>
          <w:tcPr>
            <w:tcW w:w="4617" w:type="dxa"/>
            <w:vAlign w:val="center"/>
          </w:tcPr>
          <w:p w14:paraId="34F62E55" w14:textId="6806CD34" w:rsidR="00C951E6" w:rsidRPr="005F57FA" w:rsidRDefault="00C951E6" w:rsidP="005F57FA">
            <w:pPr>
              <w:pStyle w:val="ListParagraph"/>
              <w:numPr>
                <w:ilvl w:val="0"/>
                <w:numId w:val="30"/>
              </w:numPr>
              <w:rPr>
                <w:rFonts w:ascii="Arial" w:hAnsi="Arial" w:cs="Arial"/>
                <w:sz w:val="18"/>
                <w:szCs w:val="18"/>
              </w:rPr>
            </w:pPr>
            <w:r w:rsidRPr="005F57FA">
              <w:rPr>
                <w:rFonts w:ascii="Arial" w:hAnsi="Arial" w:cs="Arial"/>
                <w:sz w:val="18"/>
                <w:szCs w:val="18"/>
              </w:rPr>
              <w:t>Application placed on waiting list if funding is unavailable or higher priority applications exist.</w:t>
            </w:r>
            <w:r w:rsidR="005F57FA">
              <w:rPr>
                <w:rFonts w:ascii="Arial" w:hAnsi="Arial" w:cs="Arial"/>
                <w:sz w:val="18"/>
                <w:szCs w:val="18"/>
              </w:rPr>
              <w:br/>
            </w:r>
            <w:r w:rsidR="005F57FA">
              <w:rPr>
                <w:rFonts w:ascii="Arial" w:hAnsi="Arial" w:cs="Arial"/>
                <w:sz w:val="18"/>
                <w:szCs w:val="18"/>
              </w:rPr>
              <w:br/>
              <w:t>OR</w:t>
            </w:r>
          </w:p>
          <w:p w14:paraId="63E743D2" w14:textId="4BC178D1" w:rsidR="00C951E6" w:rsidRPr="005F57FA" w:rsidRDefault="00C951E6" w:rsidP="005F57FA">
            <w:pPr>
              <w:rPr>
                <w:rFonts w:ascii="Arial" w:hAnsi="Arial" w:cs="Arial"/>
                <w:b/>
                <w:bCs/>
                <w:sz w:val="18"/>
                <w:szCs w:val="18"/>
              </w:rPr>
            </w:pPr>
          </w:p>
          <w:p w14:paraId="0A9E27EB" w14:textId="7857AD42" w:rsidR="00397D31" w:rsidRPr="005F57FA" w:rsidRDefault="00C951E6" w:rsidP="005F57FA">
            <w:pPr>
              <w:pStyle w:val="ListParagraph"/>
              <w:numPr>
                <w:ilvl w:val="0"/>
                <w:numId w:val="30"/>
              </w:numPr>
              <w:rPr>
                <w:rFonts w:ascii="Arial" w:hAnsi="Arial" w:cs="Arial"/>
                <w:sz w:val="18"/>
                <w:szCs w:val="18"/>
              </w:rPr>
            </w:pPr>
            <w:r w:rsidRPr="005F57FA">
              <w:rPr>
                <w:rFonts w:ascii="Arial" w:hAnsi="Arial" w:cs="Arial"/>
                <w:sz w:val="18"/>
                <w:szCs w:val="18"/>
              </w:rPr>
              <w:t>Application advances to Step 4.</w:t>
            </w:r>
          </w:p>
        </w:tc>
        <w:tc>
          <w:tcPr>
            <w:tcW w:w="1683" w:type="dxa"/>
            <w:vAlign w:val="center"/>
          </w:tcPr>
          <w:p w14:paraId="1E429313" w14:textId="17A8A77B" w:rsidR="00397D31" w:rsidRPr="00A715F8" w:rsidRDefault="00C951E6" w:rsidP="005F57FA">
            <w:pPr>
              <w:pStyle w:val="ListParagraph"/>
              <w:ind w:left="0"/>
              <w:rPr>
                <w:rFonts w:ascii="Arial" w:hAnsi="Arial" w:cs="Arial"/>
                <w:sz w:val="18"/>
                <w:szCs w:val="18"/>
              </w:rPr>
            </w:pPr>
            <w:r w:rsidRPr="00A715F8">
              <w:rPr>
                <w:rFonts w:ascii="Arial" w:hAnsi="Arial" w:cs="Arial"/>
                <w:sz w:val="18"/>
                <w:szCs w:val="18"/>
              </w:rPr>
              <w:t>Prioritization completed within 30 days following eligibility review.</w:t>
            </w:r>
          </w:p>
        </w:tc>
        <w:tc>
          <w:tcPr>
            <w:tcW w:w="1440" w:type="dxa"/>
            <w:vAlign w:val="center"/>
          </w:tcPr>
          <w:p w14:paraId="706E0DC0" w14:textId="2A6E3A34" w:rsidR="00397D31" w:rsidRPr="00E00FD4" w:rsidRDefault="00C951E6" w:rsidP="005F57FA">
            <w:pPr>
              <w:pStyle w:val="ListParagraph"/>
              <w:ind w:left="0"/>
              <w:rPr>
                <w:rFonts w:ascii="Arial" w:hAnsi="Arial" w:cs="Arial"/>
                <w:sz w:val="18"/>
                <w:szCs w:val="18"/>
              </w:rPr>
            </w:pPr>
            <w:r w:rsidRPr="00C951E6">
              <w:rPr>
                <w:rFonts w:ascii="Arial" w:hAnsi="Arial" w:cs="Arial"/>
                <w:sz w:val="18"/>
                <w:szCs w:val="18"/>
              </w:rPr>
              <w:t>None to Applicant</w:t>
            </w:r>
          </w:p>
        </w:tc>
      </w:tr>
      <w:tr w:rsidR="00397D31" w14:paraId="520A6729" w14:textId="77777777" w:rsidTr="00D117F8">
        <w:trPr>
          <w:trHeight w:val="720"/>
        </w:trPr>
        <w:tc>
          <w:tcPr>
            <w:tcW w:w="693" w:type="dxa"/>
            <w:shd w:val="clear" w:color="auto" w:fill="F4EDF9"/>
            <w:vAlign w:val="center"/>
          </w:tcPr>
          <w:p w14:paraId="38AB4916" w14:textId="1BD78630" w:rsidR="00397D31" w:rsidRPr="00F05CBF" w:rsidRDefault="00397D31" w:rsidP="00397D31">
            <w:pPr>
              <w:pStyle w:val="ListParagraph"/>
              <w:ind w:left="0"/>
              <w:jc w:val="center"/>
              <w:rPr>
                <w:rFonts w:ascii="Arial" w:hAnsi="Arial" w:cs="Arial"/>
                <w:b/>
                <w:bCs/>
                <w:sz w:val="28"/>
                <w:szCs w:val="28"/>
              </w:rPr>
            </w:pPr>
            <w:r>
              <w:rPr>
                <w:rFonts w:ascii="Arial" w:hAnsi="Arial" w:cs="Arial"/>
                <w:b/>
                <w:bCs/>
                <w:sz w:val="28"/>
                <w:szCs w:val="28"/>
              </w:rPr>
              <w:t>4</w:t>
            </w:r>
          </w:p>
        </w:tc>
        <w:tc>
          <w:tcPr>
            <w:tcW w:w="4860" w:type="dxa"/>
            <w:shd w:val="clear" w:color="auto" w:fill="F4EDF9"/>
            <w:vAlign w:val="center"/>
          </w:tcPr>
          <w:p w14:paraId="1E1FB5B3" w14:textId="41D58AA0" w:rsidR="00397D31" w:rsidRPr="00397D31" w:rsidRDefault="00C12CA9" w:rsidP="00397D31">
            <w:pPr>
              <w:pStyle w:val="ListParagraph"/>
              <w:ind w:left="0"/>
              <w:rPr>
                <w:rFonts w:ascii="Arial" w:hAnsi="Arial" w:cs="Arial"/>
                <w:sz w:val="18"/>
                <w:szCs w:val="18"/>
              </w:rPr>
            </w:pPr>
            <w:r>
              <w:rPr>
                <w:rFonts w:ascii="Arial" w:hAnsi="Arial" w:cs="Arial"/>
                <w:b/>
                <w:bCs/>
                <w:sz w:val="18"/>
                <w:szCs w:val="18"/>
              </w:rPr>
              <w:t xml:space="preserve">Reservation Deposit &amp; </w:t>
            </w:r>
            <w:r w:rsidR="00C951E6" w:rsidRPr="00C951E6">
              <w:rPr>
                <w:rFonts w:ascii="Arial" w:hAnsi="Arial" w:cs="Arial"/>
                <w:b/>
                <w:bCs/>
                <w:sz w:val="18"/>
                <w:szCs w:val="18"/>
              </w:rPr>
              <w:t xml:space="preserve">Initial Project Review </w:t>
            </w:r>
            <w:r w:rsidR="00A715F8">
              <w:rPr>
                <w:rFonts w:ascii="Arial" w:hAnsi="Arial" w:cs="Arial"/>
                <w:b/>
                <w:bCs/>
                <w:sz w:val="18"/>
                <w:szCs w:val="18"/>
              </w:rPr>
              <w:br/>
            </w:r>
            <w:r>
              <w:rPr>
                <w:rFonts w:ascii="Arial" w:hAnsi="Arial" w:cs="Arial"/>
                <w:sz w:val="18"/>
                <w:szCs w:val="18"/>
              </w:rPr>
              <w:t>Following prioritization, applicants selected to move forward will be required to submit a $500 Reservation Deposit before TCPDC schedules the initial site inspection. Upon receipt of the Reservation Deposit, TCPDC’s Construction Manager will conduct a site visit to: evaluate project feasibility, prepare a preliminary scope of work, develop a cost estimate, identify any additional financing or owner actions that may be required. The Reservation Deposit demonstrates the applicant’s commitment to the program and helps offset costs incurred by TCPDC should the applicant voluntarily withdraw after project review activities have begun. The deposit will be fully refundable upon successful completion of the project.</w:t>
            </w:r>
          </w:p>
        </w:tc>
        <w:tc>
          <w:tcPr>
            <w:tcW w:w="4617" w:type="dxa"/>
            <w:shd w:val="clear" w:color="auto" w:fill="F4EDF9"/>
            <w:vAlign w:val="center"/>
          </w:tcPr>
          <w:p w14:paraId="7882E872" w14:textId="61B6A731" w:rsidR="005F57FA" w:rsidRDefault="00C12CA9" w:rsidP="005F57FA">
            <w:pPr>
              <w:pStyle w:val="ListParagraph"/>
              <w:numPr>
                <w:ilvl w:val="0"/>
                <w:numId w:val="32"/>
              </w:numPr>
              <w:rPr>
                <w:rFonts w:ascii="Arial" w:hAnsi="Arial" w:cs="Arial"/>
                <w:sz w:val="18"/>
                <w:szCs w:val="18"/>
              </w:rPr>
            </w:pPr>
            <w:r>
              <w:rPr>
                <w:rFonts w:ascii="Arial" w:hAnsi="Arial" w:cs="Arial"/>
                <w:sz w:val="18"/>
                <w:szCs w:val="18"/>
              </w:rPr>
              <w:t xml:space="preserve">Reservation Deposit is not received by the deadline and the application is closed. </w:t>
            </w:r>
            <w:r w:rsidR="005F57FA">
              <w:rPr>
                <w:rFonts w:ascii="Arial" w:hAnsi="Arial" w:cs="Arial"/>
                <w:sz w:val="18"/>
                <w:szCs w:val="18"/>
              </w:rPr>
              <w:br/>
            </w:r>
            <w:r w:rsidR="005F57FA">
              <w:rPr>
                <w:rFonts w:ascii="Arial" w:hAnsi="Arial" w:cs="Arial"/>
                <w:sz w:val="18"/>
                <w:szCs w:val="18"/>
              </w:rPr>
              <w:br/>
              <w:t>OR</w:t>
            </w:r>
            <w:r w:rsidR="005F57FA">
              <w:rPr>
                <w:rFonts w:ascii="Arial" w:hAnsi="Arial" w:cs="Arial"/>
                <w:sz w:val="18"/>
                <w:szCs w:val="18"/>
              </w:rPr>
              <w:br/>
            </w:r>
          </w:p>
          <w:p w14:paraId="130B1D32" w14:textId="6E2C7C37" w:rsidR="005F57FA" w:rsidRDefault="00C12CA9" w:rsidP="005F57FA">
            <w:pPr>
              <w:pStyle w:val="ListParagraph"/>
              <w:numPr>
                <w:ilvl w:val="0"/>
                <w:numId w:val="32"/>
              </w:numPr>
              <w:rPr>
                <w:rFonts w:ascii="Arial" w:hAnsi="Arial" w:cs="Arial"/>
                <w:sz w:val="18"/>
                <w:szCs w:val="18"/>
              </w:rPr>
            </w:pPr>
            <w:r>
              <w:rPr>
                <w:rFonts w:ascii="Arial" w:hAnsi="Arial" w:cs="Arial"/>
                <w:sz w:val="18"/>
                <w:szCs w:val="18"/>
              </w:rPr>
              <w:t>Project determined infeasible</w:t>
            </w:r>
            <w:r>
              <w:rPr>
                <w:rFonts w:ascii="Arial" w:hAnsi="Arial" w:cs="Arial"/>
                <w:sz w:val="18"/>
                <w:szCs w:val="18"/>
              </w:rPr>
              <w:br/>
            </w:r>
            <w:r w:rsidR="005F57FA">
              <w:rPr>
                <w:rFonts w:ascii="Arial" w:hAnsi="Arial" w:cs="Arial"/>
                <w:sz w:val="18"/>
                <w:szCs w:val="18"/>
              </w:rPr>
              <w:br/>
              <w:t>OR</w:t>
            </w:r>
            <w:r w:rsidR="005F57FA">
              <w:rPr>
                <w:rFonts w:ascii="Arial" w:hAnsi="Arial" w:cs="Arial"/>
                <w:sz w:val="18"/>
                <w:szCs w:val="18"/>
              </w:rPr>
              <w:br/>
            </w:r>
          </w:p>
          <w:p w14:paraId="1DC4A74F" w14:textId="698F52B7" w:rsidR="00397D31" w:rsidRDefault="00C12CA9" w:rsidP="005F57FA">
            <w:pPr>
              <w:pStyle w:val="ListParagraph"/>
              <w:numPr>
                <w:ilvl w:val="0"/>
                <w:numId w:val="32"/>
              </w:numPr>
              <w:rPr>
                <w:rFonts w:ascii="Arial" w:hAnsi="Arial" w:cs="Arial"/>
                <w:sz w:val="18"/>
                <w:szCs w:val="18"/>
              </w:rPr>
            </w:pPr>
            <w:r>
              <w:rPr>
                <w:rFonts w:ascii="Arial" w:hAnsi="Arial" w:cs="Arial"/>
                <w:sz w:val="18"/>
                <w:szCs w:val="18"/>
              </w:rPr>
              <w:t xml:space="preserve">Additional owner actions required before funding commitment. </w:t>
            </w:r>
            <w:r>
              <w:rPr>
                <w:rFonts w:ascii="Arial" w:hAnsi="Arial" w:cs="Arial"/>
                <w:sz w:val="18"/>
                <w:szCs w:val="18"/>
              </w:rPr>
              <w:br/>
            </w:r>
            <w:r>
              <w:rPr>
                <w:rFonts w:ascii="Arial" w:hAnsi="Arial" w:cs="Arial"/>
                <w:sz w:val="18"/>
                <w:szCs w:val="18"/>
              </w:rPr>
              <w:br/>
              <w:t xml:space="preserve">OR </w:t>
            </w:r>
          </w:p>
          <w:p w14:paraId="58378603" w14:textId="77777777" w:rsidR="00C12CA9" w:rsidRDefault="00C12CA9" w:rsidP="00C12CA9">
            <w:pPr>
              <w:pStyle w:val="ListParagraph"/>
              <w:rPr>
                <w:rFonts w:ascii="Arial" w:hAnsi="Arial" w:cs="Arial"/>
                <w:sz w:val="18"/>
                <w:szCs w:val="18"/>
              </w:rPr>
            </w:pPr>
          </w:p>
          <w:p w14:paraId="418A4C4C" w14:textId="36786014" w:rsidR="00C12CA9" w:rsidRPr="005F57FA" w:rsidRDefault="00C12CA9" w:rsidP="005F57FA">
            <w:pPr>
              <w:pStyle w:val="ListParagraph"/>
              <w:numPr>
                <w:ilvl w:val="0"/>
                <w:numId w:val="32"/>
              </w:numPr>
              <w:rPr>
                <w:rFonts w:ascii="Arial" w:hAnsi="Arial" w:cs="Arial"/>
                <w:sz w:val="18"/>
                <w:szCs w:val="18"/>
              </w:rPr>
            </w:pPr>
            <w:r>
              <w:rPr>
                <w:rFonts w:ascii="Arial" w:hAnsi="Arial" w:cs="Arial"/>
                <w:sz w:val="18"/>
                <w:szCs w:val="18"/>
              </w:rPr>
              <w:t xml:space="preserve">Project determined feasible and advances to Step 5. </w:t>
            </w:r>
          </w:p>
        </w:tc>
        <w:tc>
          <w:tcPr>
            <w:tcW w:w="1683" w:type="dxa"/>
            <w:shd w:val="clear" w:color="auto" w:fill="F4EDF9"/>
            <w:vAlign w:val="center"/>
          </w:tcPr>
          <w:p w14:paraId="08E25B2C" w14:textId="24928C3D" w:rsidR="00397D31" w:rsidRPr="00E00FD4" w:rsidRDefault="00C951E6" w:rsidP="005F57FA">
            <w:pPr>
              <w:pStyle w:val="ListParagraph"/>
              <w:ind w:left="0"/>
              <w:rPr>
                <w:rFonts w:ascii="Arial" w:hAnsi="Arial" w:cs="Arial"/>
                <w:sz w:val="18"/>
                <w:szCs w:val="18"/>
              </w:rPr>
            </w:pPr>
            <w:r w:rsidRPr="00C951E6">
              <w:rPr>
                <w:rFonts w:ascii="Arial" w:hAnsi="Arial" w:cs="Arial"/>
                <w:sz w:val="18"/>
                <w:szCs w:val="18"/>
              </w:rPr>
              <w:t xml:space="preserve">Initial review completed within approximately 60 days after </w:t>
            </w:r>
            <w:r w:rsidR="00C12CA9">
              <w:rPr>
                <w:rFonts w:ascii="Arial" w:hAnsi="Arial" w:cs="Arial"/>
                <w:sz w:val="18"/>
                <w:szCs w:val="18"/>
              </w:rPr>
              <w:t>receipt of the Reservation Deposit.</w:t>
            </w:r>
          </w:p>
        </w:tc>
        <w:tc>
          <w:tcPr>
            <w:tcW w:w="1440" w:type="dxa"/>
            <w:shd w:val="clear" w:color="auto" w:fill="F4EDF9"/>
            <w:vAlign w:val="center"/>
          </w:tcPr>
          <w:p w14:paraId="719DE941" w14:textId="4BACD62B" w:rsidR="00397D31" w:rsidRPr="00E00FD4" w:rsidRDefault="00F1367E" w:rsidP="005F57FA">
            <w:pPr>
              <w:pStyle w:val="ListParagraph"/>
              <w:ind w:left="0"/>
              <w:rPr>
                <w:rFonts w:ascii="Arial" w:hAnsi="Arial" w:cs="Arial"/>
                <w:sz w:val="18"/>
                <w:szCs w:val="18"/>
              </w:rPr>
            </w:pPr>
            <w:r>
              <w:rPr>
                <w:rFonts w:ascii="Arial" w:hAnsi="Arial" w:cs="Arial"/>
                <w:sz w:val="18"/>
                <w:szCs w:val="18"/>
              </w:rPr>
              <w:t>$500 Reservation Deposit (Refundable upon successful project completion</w:t>
            </w:r>
            <w:r w:rsidR="002F03C4">
              <w:rPr>
                <w:rFonts w:ascii="Arial" w:hAnsi="Arial" w:cs="Arial"/>
                <w:sz w:val="18"/>
                <w:szCs w:val="18"/>
              </w:rPr>
              <w:t>, or if the project is deemed infeasible by LPA</w:t>
            </w:r>
            <w:r>
              <w:rPr>
                <w:rFonts w:ascii="Arial" w:hAnsi="Arial" w:cs="Arial"/>
                <w:sz w:val="18"/>
                <w:szCs w:val="18"/>
              </w:rPr>
              <w:t>).</w:t>
            </w:r>
            <w:r w:rsidR="00C951E6" w:rsidRPr="00C951E6">
              <w:rPr>
                <w:rFonts w:ascii="Arial" w:hAnsi="Arial" w:cs="Arial"/>
                <w:sz w:val="18"/>
                <w:szCs w:val="18"/>
              </w:rPr>
              <w:t xml:space="preserve"> Applicant may need to demonstrate the availability of additional financing if required.</w:t>
            </w:r>
          </w:p>
        </w:tc>
      </w:tr>
      <w:tr w:rsidR="00397D31" w14:paraId="11E59425" w14:textId="77777777" w:rsidTr="00D117F8">
        <w:trPr>
          <w:trHeight w:val="720"/>
        </w:trPr>
        <w:tc>
          <w:tcPr>
            <w:tcW w:w="693" w:type="dxa"/>
            <w:vAlign w:val="center"/>
          </w:tcPr>
          <w:p w14:paraId="2D5268CC" w14:textId="2F70FAC0" w:rsidR="00397D31" w:rsidRDefault="00397D31" w:rsidP="00397D31">
            <w:pPr>
              <w:pStyle w:val="ListParagraph"/>
              <w:ind w:left="0"/>
              <w:jc w:val="center"/>
              <w:rPr>
                <w:rFonts w:ascii="Arial" w:hAnsi="Arial" w:cs="Arial"/>
                <w:b/>
                <w:bCs/>
                <w:sz w:val="28"/>
                <w:szCs w:val="28"/>
              </w:rPr>
            </w:pPr>
            <w:r>
              <w:rPr>
                <w:rFonts w:ascii="Arial" w:hAnsi="Arial" w:cs="Arial"/>
                <w:b/>
                <w:bCs/>
                <w:sz w:val="28"/>
                <w:szCs w:val="28"/>
              </w:rPr>
              <w:lastRenderedPageBreak/>
              <w:t>5</w:t>
            </w:r>
          </w:p>
        </w:tc>
        <w:tc>
          <w:tcPr>
            <w:tcW w:w="4860" w:type="dxa"/>
            <w:vAlign w:val="center"/>
          </w:tcPr>
          <w:p w14:paraId="4D8B26E9" w14:textId="49F14105" w:rsidR="00397D31" w:rsidRPr="00397D31" w:rsidRDefault="00C951E6" w:rsidP="00397D31">
            <w:pPr>
              <w:pStyle w:val="ListParagraph"/>
              <w:ind w:left="0"/>
              <w:rPr>
                <w:rFonts w:ascii="Arial" w:hAnsi="Arial" w:cs="Arial"/>
                <w:sz w:val="18"/>
                <w:szCs w:val="18"/>
                <w:highlight w:val="yellow"/>
              </w:rPr>
            </w:pPr>
            <w:r w:rsidRPr="00C951E6">
              <w:rPr>
                <w:rFonts w:ascii="Arial" w:hAnsi="Arial" w:cs="Arial"/>
                <w:b/>
                <w:bCs/>
                <w:sz w:val="18"/>
                <w:szCs w:val="18"/>
              </w:rPr>
              <w:t xml:space="preserve">Applicant Meets Conditional Requirements </w:t>
            </w:r>
            <w:r>
              <w:rPr>
                <w:rFonts w:ascii="Arial" w:hAnsi="Arial" w:cs="Arial"/>
                <w:b/>
                <w:bCs/>
                <w:sz w:val="18"/>
                <w:szCs w:val="18"/>
              </w:rPr>
              <w:br/>
            </w:r>
            <w:r w:rsidRPr="00A715F8">
              <w:rPr>
                <w:rFonts w:ascii="Arial" w:hAnsi="Arial" w:cs="Arial"/>
                <w:sz w:val="18"/>
                <w:szCs w:val="18"/>
              </w:rPr>
              <w:t>If required during the Initial Project Review, the applicant must complete any conditions established by TCPDC before a funding commitment can be made. Conditions may include securing additional financing, providing updated documentation, completing required owner actions, or addressing other project-specific items. Grant funds are not reserved during this time unless otherwise approved</w:t>
            </w:r>
            <w:r w:rsidRPr="00C951E6">
              <w:rPr>
                <w:rFonts w:ascii="Arial" w:hAnsi="Arial" w:cs="Arial"/>
                <w:b/>
                <w:bCs/>
                <w:sz w:val="18"/>
                <w:szCs w:val="18"/>
              </w:rPr>
              <w:t xml:space="preserve"> </w:t>
            </w:r>
            <w:r w:rsidRPr="00A715F8">
              <w:rPr>
                <w:rFonts w:ascii="Arial" w:hAnsi="Arial" w:cs="Arial"/>
                <w:sz w:val="18"/>
                <w:szCs w:val="18"/>
              </w:rPr>
              <w:t>by TCPDC. In most cases, applicants will</w:t>
            </w:r>
            <w:r w:rsidRPr="00C951E6">
              <w:rPr>
                <w:rFonts w:ascii="Arial" w:hAnsi="Arial" w:cs="Arial"/>
                <w:b/>
                <w:bCs/>
                <w:sz w:val="18"/>
                <w:szCs w:val="18"/>
              </w:rPr>
              <w:t xml:space="preserve"> </w:t>
            </w:r>
            <w:r w:rsidRPr="00A715F8">
              <w:rPr>
                <w:rFonts w:ascii="Arial" w:hAnsi="Arial" w:cs="Arial"/>
                <w:sz w:val="18"/>
                <w:szCs w:val="18"/>
              </w:rPr>
              <w:t>have 30 days to complete the required actions unless an extension is granted.</w:t>
            </w:r>
          </w:p>
        </w:tc>
        <w:tc>
          <w:tcPr>
            <w:tcW w:w="4617" w:type="dxa"/>
            <w:vAlign w:val="center"/>
          </w:tcPr>
          <w:p w14:paraId="5A748D63" w14:textId="7988AEF9" w:rsidR="005F57FA" w:rsidRDefault="00C951E6" w:rsidP="005F57FA">
            <w:pPr>
              <w:pStyle w:val="ListParagraph"/>
              <w:numPr>
                <w:ilvl w:val="0"/>
                <w:numId w:val="33"/>
              </w:numPr>
              <w:rPr>
                <w:rFonts w:ascii="Arial" w:hAnsi="Arial" w:cs="Arial"/>
                <w:sz w:val="18"/>
                <w:szCs w:val="18"/>
              </w:rPr>
            </w:pPr>
            <w:r w:rsidRPr="005F57FA">
              <w:rPr>
                <w:rFonts w:ascii="Arial" w:hAnsi="Arial" w:cs="Arial"/>
                <w:sz w:val="18"/>
                <w:szCs w:val="18"/>
              </w:rPr>
              <w:t xml:space="preserve">Applicant does not meet the required conditions by the </w:t>
            </w:r>
            <w:r w:rsidR="00C12CA9" w:rsidRPr="005F57FA">
              <w:rPr>
                <w:rFonts w:ascii="Arial" w:hAnsi="Arial" w:cs="Arial"/>
                <w:sz w:val="18"/>
                <w:szCs w:val="18"/>
              </w:rPr>
              <w:t>deadline,</w:t>
            </w:r>
            <w:r w:rsidRPr="005F57FA">
              <w:rPr>
                <w:rFonts w:ascii="Arial" w:hAnsi="Arial" w:cs="Arial"/>
                <w:sz w:val="18"/>
                <w:szCs w:val="18"/>
              </w:rPr>
              <w:t xml:space="preserve"> and the application is denied</w:t>
            </w:r>
            <w:r w:rsidR="005F57FA">
              <w:rPr>
                <w:rFonts w:ascii="Arial" w:hAnsi="Arial" w:cs="Arial"/>
                <w:sz w:val="18"/>
                <w:szCs w:val="18"/>
              </w:rPr>
              <w:t>.</w:t>
            </w:r>
            <w:r w:rsidR="005F57FA">
              <w:rPr>
                <w:rFonts w:ascii="Arial" w:hAnsi="Arial" w:cs="Arial"/>
                <w:sz w:val="18"/>
                <w:szCs w:val="18"/>
              </w:rPr>
              <w:br/>
            </w:r>
            <w:r w:rsidR="005F57FA">
              <w:rPr>
                <w:rFonts w:ascii="Arial" w:hAnsi="Arial" w:cs="Arial"/>
                <w:sz w:val="18"/>
                <w:szCs w:val="18"/>
              </w:rPr>
              <w:br/>
              <w:t>OR</w:t>
            </w:r>
            <w:r w:rsidR="005F57FA">
              <w:rPr>
                <w:rFonts w:ascii="Arial" w:hAnsi="Arial" w:cs="Arial"/>
                <w:sz w:val="18"/>
                <w:szCs w:val="18"/>
              </w:rPr>
              <w:br/>
            </w:r>
          </w:p>
          <w:p w14:paraId="50F9DFC4" w14:textId="216AAD13" w:rsidR="005F57FA" w:rsidRDefault="00C951E6" w:rsidP="005F57FA">
            <w:pPr>
              <w:pStyle w:val="ListParagraph"/>
              <w:numPr>
                <w:ilvl w:val="0"/>
                <w:numId w:val="33"/>
              </w:numPr>
              <w:rPr>
                <w:rFonts w:ascii="Arial" w:hAnsi="Arial" w:cs="Arial"/>
                <w:sz w:val="18"/>
                <w:szCs w:val="18"/>
              </w:rPr>
            </w:pPr>
            <w:r w:rsidRPr="005F57FA">
              <w:rPr>
                <w:rFonts w:ascii="Arial" w:hAnsi="Arial" w:cs="Arial"/>
                <w:sz w:val="18"/>
                <w:szCs w:val="18"/>
              </w:rPr>
              <w:t xml:space="preserve"> </w:t>
            </w:r>
            <w:r w:rsidR="00F1367E">
              <w:rPr>
                <w:rFonts w:ascii="Arial" w:hAnsi="Arial" w:cs="Arial"/>
                <w:sz w:val="18"/>
                <w:szCs w:val="18"/>
              </w:rPr>
              <w:t xml:space="preserve">Applicant elects to withdraw from the program. The Reservation Deposit may be forfeited in accordance with the program agreement. </w:t>
            </w:r>
            <w:r w:rsidR="005F57FA">
              <w:rPr>
                <w:rFonts w:ascii="Arial" w:hAnsi="Arial" w:cs="Arial"/>
                <w:sz w:val="18"/>
                <w:szCs w:val="18"/>
              </w:rPr>
              <w:br/>
            </w:r>
            <w:r w:rsidR="005F57FA">
              <w:rPr>
                <w:rFonts w:ascii="Arial" w:hAnsi="Arial" w:cs="Arial"/>
                <w:sz w:val="18"/>
                <w:szCs w:val="18"/>
              </w:rPr>
              <w:br/>
              <w:t>OR</w:t>
            </w:r>
            <w:r w:rsidR="005F57FA">
              <w:rPr>
                <w:rFonts w:ascii="Arial" w:hAnsi="Arial" w:cs="Arial"/>
                <w:sz w:val="18"/>
                <w:szCs w:val="18"/>
              </w:rPr>
              <w:br/>
            </w:r>
          </w:p>
          <w:p w14:paraId="6E609973" w14:textId="1630EEED" w:rsidR="00397D31" w:rsidRPr="005F57FA" w:rsidRDefault="00C951E6" w:rsidP="00F1367E">
            <w:pPr>
              <w:pStyle w:val="ListParagraph"/>
              <w:numPr>
                <w:ilvl w:val="0"/>
                <w:numId w:val="33"/>
              </w:numPr>
              <w:rPr>
                <w:rFonts w:ascii="Arial" w:hAnsi="Arial" w:cs="Arial"/>
                <w:sz w:val="18"/>
                <w:szCs w:val="18"/>
              </w:rPr>
            </w:pPr>
            <w:r w:rsidRPr="005F57FA">
              <w:rPr>
                <w:rFonts w:ascii="Arial" w:hAnsi="Arial" w:cs="Arial"/>
                <w:sz w:val="18"/>
                <w:szCs w:val="18"/>
              </w:rPr>
              <w:t xml:space="preserve"> </w:t>
            </w:r>
            <w:r w:rsidR="00F1367E">
              <w:rPr>
                <w:rFonts w:ascii="Arial" w:hAnsi="Arial" w:cs="Arial"/>
                <w:sz w:val="18"/>
                <w:szCs w:val="18"/>
              </w:rPr>
              <w:t xml:space="preserve">Required actions are completed and the project advances to Step 6 for Board consideration. </w:t>
            </w:r>
          </w:p>
        </w:tc>
        <w:tc>
          <w:tcPr>
            <w:tcW w:w="1683" w:type="dxa"/>
            <w:vAlign w:val="center"/>
          </w:tcPr>
          <w:p w14:paraId="6A1E00E6" w14:textId="5C1E2C42" w:rsidR="00397D31" w:rsidRPr="00E00FD4" w:rsidRDefault="00C951E6" w:rsidP="005F57FA">
            <w:pPr>
              <w:pStyle w:val="ListParagraph"/>
              <w:ind w:left="0"/>
              <w:rPr>
                <w:rFonts w:ascii="Arial" w:hAnsi="Arial" w:cs="Arial"/>
                <w:sz w:val="18"/>
                <w:szCs w:val="18"/>
              </w:rPr>
            </w:pPr>
            <w:r w:rsidRPr="00C951E6">
              <w:rPr>
                <w:rFonts w:ascii="Arial" w:hAnsi="Arial" w:cs="Arial"/>
                <w:sz w:val="18"/>
                <w:szCs w:val="18"/>
              </w:rPr>
              <w:t xml:space="preserve">Timeframe depends on the required actions identified by </w:t>
            </w:r>
            <w:r w:rsidR="00F1367E">
              <w:rPr>
                <w:rFonts w:ascii="Arial" w:hAnsi="Arial" w:cs="Arial"/>
                <w:sz w:val="18"/>
                <w:szCs w:val="18"/>
              </w:rPr>
              <w:t>the Initial Project Review</w:t>
            </w:r>
            <w:r w:rsidRPr="00C951E6">
              <w:rPr>
                <w:rFonts w:ascii="Arial" w:hAnsi="Arial" w:cs="Arial"/>
                <w:sz w:val="18"/>
                <w:szCs w:val="18"/>
              </w:rPr>
              <w:t>.</w:t>
            </w:r>
            <w:r w:rsidR="00F1367E">
              <w:rPr>
                <w:rFonts w:ascii="Arial" w:hAnsi="Arial" w:cs="Arial"/>
                <w:sz w:val="18"/>
                <w:szCs w:val="18"/>
              </w:rPr>
              <w:t xml:space="preserve"> In most cases, applicants will have 30 days to complete the required actions unless otherwise approved by the TCPDC. </w:t>
            </w:r>
          </w:p>
        </w:tc>
        <w:tc>
          <w:tcPr>
            <w:tcW w:w="1440" w:type="dxa"/>
            <w:vAlign w:val="center"/>
          </w:tcPr>
          <w:p w14:paraId="0AEBC4B2" w14:textId="30E3DAD2" w:rsidR="00397D31" w:rsidRPr="00E00FD4" w:rsidRDefault="00C951E6" w:rsidP="005F57FA">
            <w:pPr>
              <w:pStyle w:val="ListParagraph"/>
              <w:ind w:left="0"/>
              <w:rPr>
                <w:rFonts w:ascii="Arial" w:hAnsi="Arial" w:cs="Arial"/>
                <w:sz w:val="18"/>
                <w:szCs w:val="18"/>
              </w:rPr>
            </w:pPr>
            <w:r w:rsidRPr="00C951E6">
              <w:rPr>
                <w:rFonts w:ascii="Arial" w:hAnsi="Arial" w:cs="Arial"/>
                <w:sz w:val="18"/>
                <w:szCs w:val="18"/>
              </w:rPr>
              <w:t>Variable depending on required activities. Costs incurred prior to grant commitment are not reimbursable.</w:t>
            </w:r>
          </w:p>
        </w:tc>
      </w:tr>
      <w:tr w:rsidR="00397D31" w14:paraId="6A5BA951" w14:textId="77777777" w:rsidTr="00D117F8">
        <w:trPr>
          <w:trHeight w:val="720"/>
        </w:trPr>
        <w:tc>
          <w:tcPr>
            <w:tcW w:w="693" w:type="dxa"/>
            <w:shd w:val="clear" w:color="auto" w:fill="F4EDF9"/>
            <w:vAlign w:val="center"/>
          </w:tcPr>
          <w:p w14:paraId="7B06ED17" w14:textId="77777777" w:rsidR="00397D31" w:rsidRPr="00F05CBF" w:rsidRDefault="00397D31" w:rsidP="00397D31">
            <w:pPr>
              <w:pStyle w:val="ListParagraph"/>
              <w:ind w:left="0"/>
              <w:jc w:val="center"/>
              <w:rPr>
                <w:rFonts w:ascii="Arial" w:hAnsi="Arial" w:cs="Arial"/>
                <w:b/>
                <w:bCs/>
                <w:sz w:val="28"/>
                <w:szCs w:val="28"/>
              </w:rPr>
            </w:pPr>
            <w:r>
              <w:rPr>
                <w:rFonts w:ascii="Arial" w:hAnsi="Arial" w:cs="Arial"/>
                <w:b/>
                <w:bCs/>
                <w:sz w:val="28"/>
                <w:szCs w:val="28"/>
              </w:rPr>
              <w:t>6</w:t>
            </w:r>
          </w:p>
        </w:tc>
        <w:tc>
          <w:tcPr>
            <w:tcW w:w="4860" w:type="dxa"/>
            <w:shd w:val="clear" w:color="auto" w:fill="F4EDF9"/>
            <w:vAlign w:val="center"/>
          </w:tcPr>
          <w:p w14:paraId="53C28424" w14:textId="189A871C" w:rsidR="00397D31" w:rsidRPr="00397D31" w:rsidRDefault="00C12CA9" w:rsidP="00397D31">
            <w:pPr>
              <w:pStyle w:val="ListParagraph"/>
              <w:ind w:left="0"/>
              <w:rPr>
                <w:rFonts w:ascii="Arial" w:hAnsi="Arial" w:cs="Arial"/>
                <w:sz w:val="18"/>
                <w:szCs w:val="18"/>
              </w:rPr>
            </w:pPr>
            <w:r>
              <w:rPr>
                <w:rFonts w:ascii="Arial" w:hAnsi="Arial" w:cs="Arial"/>
                <w:b/>
                <w:bCs/>
                <w:sz w:val="18"/>
                <w:szCs w:val="18"/>
              </w:rPr>
              <w:t>Board Funding Commitment</w:t>
            </w:r>
            <w:r w:rsidR="00C951E6" w:rsidRPr="00C951E6">
              <w:rPr>
                <w:rFonts w:ascii="Arial" w:hAnsi="Arial" w:cs="Arial"/>
                <w:b/>
                <w:bCs/>
                <w:sz w:val="18"/>
                <w:szCs w:val="18"/>
              </w:rPr>
              <w:t xml:space="preserve"> </w:t>
            </w:r>
            <w:r w:rsidR="00A715F8">
              <w:rPr>
                <w:rFonts w:ascii="Arial" w:hAnsi="Arial" w:cs="Arial"/>
                <w:b/>
                <w:bCs/>
                <w:sz w:val="18"/>
                <w:szCs w:val="18"/>
              </w:rPr>
              <w:br/>
            </w:r>
            <w:r w:rsidR="00C951E6" w:rsidRPr="00A715F8">
              <w:rPr>
                <w:rFonts w:ascii="Arial" w:hAnsi="Arial" w:cs="Arial"/>
                <w:sz w:val="18"/>
                <w:szCs w:val="18"/>
              </w:rPr>
              <w:t>TCPDC staff present the application to the Board of Directors for consideration. Applicants are encouraged to attend the Board meeting to answer any questions regarding their proposed project. If approved, TCPDC issues a Contingent Funding Commitment Letter and reserves funding for the project pending successful completion of the remaining program requirements.</w:t>
            </w:r>
          </w:p>
        </w:tc>
        <w:tc>
          <w:tcPr>
            <w:tcW w:w="4617" w:type="dxa"/>
            <w:shd w:val="clear" w:color="auto" w:fill="F4EDF9"/>
            <w:vAlign w:val="center"/>
          </w:tcPr>
          <w:p w14:paraId="41C1FEFF" w14:textId="2098D087" w:rsidR="005F57FA" w:rsidRDefault="00C951E6" w:rsidP="005F57FA">
            <w:pPr>
              <w:pStyle w:val="ListParagraph"/>
              <w:numPr>
                <w:ilvl w:val="0"/>
                <w:numId w:val="35"/>
              </w:numPr>
              <w:rPr>
                <w:rFonts w:ascii="Arial" w:hAnsi="Arial" w:cs="Arial"/>
                <w:sz w:val="18"/>
                <w:szCs w:val="18"/>
              </w:rPr>
            </w:pPr>
            <w:r w:rsidRPr="005F57FA">
              <w:rPr>
                <w:rFonts w:ascii="Arial" w:hAnsi="Arial" w:cs="Arial"/>
                <w:sz w:val="18"/>
                <w:szCs w:val="18"/>
              </w:rPr>
              <w:t>Board denies funding and the application is closed.</w:t>
            </w:r>
            <w:r w:rsidR="005F57FA">
              <w:rPr>
                <w:rFonts w:ascii="Arial" w:hAnsi="Arial" w:cs="Arial"/>
                <w:sz w:val="18"/>
                <w:szCs w:val="18"/>
              </w:rPr>
              <w:br/>
            </w:r>
            <w:r w:rsidR="005F57FA">
              <w:rPr>
                <w:rFonts w:ascii="Arial" w:hAnsi="Arial" w:cs="Arial"/>
                <w:sz w:val="18"/>
                <w:szCs w:val="18"/>
              </w:rPr>
              <w:br/>
              <w:t>OR</w:t>
            </w:r>
            <w:r w:rsidR="005F57FA">
              <w:rPr>
                <w:rFonts w:ascii="Arial" w:hAnsi="Arial" w:cs="Arial"/>
                <w:sz w:val="18"/>
                <w:szCs w:val="18"/>
              </w:rPr>
              <w:br/>
            </w:r>
          </w:p>
          <w:p w14:paraId="7171437A" w14:textId="4CED11D3" w:rsidR="005F57FA" w:rsidRDefault="00C951E6" w:rsidP="005F57FA">
            <w:pPr>
              <w:pStyle w:val="ListParagraph"/>
              <w:numPr>
                <w:ilvl w:val="0"/>
                <w:numId w:val="35"/>
              </w:numPr>
              <w:rPr>
                <w:rFonts w:ascii="Arial" w:hAnsi="Arial" w:cs="Arial"/>
                <w:sz w:val="18"/>
                <w:szCs w:val="18"/>
              </w:rPr>
            </w:pPr>
            <w:r w:rsidRPr="005F57FA">
              <w:rPr>
                <w:rFonts w:ascii="Arial" w:hAnsi="Arial" w:cs="Arial"/>
                <w:sz w:val="18"/>
                <w:szCs w:val="18"/>
              </w:rPr>
              <w:t>Applicant declines the funding commitment and the reservation is released.</w:t>
            </w:r>
            <w:r w:rsidR="005F57FA">
              <w:rPr>
                <w:rFonts w:ascii="Arial" w:hAnsi="Arial" w:cs="Arial"/>
                <w:sz w:val="18"/>
                <w:szCs w:val="18"/>
              </w:rPr>
              <w:br/>
            </w:r>
            <w:r w:rsidR="005F57FA">
              <w:rPr>
                <w:rFonts w:ascii="Arial" w:hAnsi="Arial" w:cs="Arial"/>
                <w:sz w:val="18"/>
                <w:szCs w:val="18"/>
              </w:rPr>
              <w:br/>
              <w:t>OR</w:t>
            </w:r>
            <w:r w:rsidR="005F57FA">
              <w:rPr>
                <w:rFonts w:ascii="Arial" w:hAnsi="Arial" w:cs="Arial"/>
                <w:sz w:val="18"/>
                <w:szCs w:val="18"/>
              </w:rPr>
              <w:br/>
            </w:r>
          </w:p>
          <w:p w14:paraId="68542B6C" w14:textId="51EC934B" w:rsidR="00397D31" w:rsidRPr="005F57FA" w:rsidRDefault="00F1367E" w:rsidP="005F57FA">
            <w:pPr>
              <w:pStyle w:val="ListParagraph"/>
              <w:numPr>
                <w:ilvl w:val="0"/>
                <w:numId w:val="35"/>
              </w:numPr>
              <w:rPr>
                <w:rFonts w:ascii="Arial" w:hAnsi="Arial" w:cs="Arial"/>
                <w:sz w:val="18"/>
                <w:szCs w:val="18"/>
              </w:rPr>
            </w:pPr>
            <w:r>
              <w:rPr>
                <w:rFonts w:ascii="Arial" w:hAnsi="Arial" w:cs="Arial"/>
                <w:sz w:val="18"/>
                <w:szCs w:val="18"/>
              </w:rPr>
              <w:t xml:space="preserve">Funding reserved and project advances to Environmental Review. </w:t>
            </w:r>
          </w:p>
        </w:tc>
        <w:tc>
          <w:tcPr>
            <w:tcW w:w="1683" w:type="dxa"/>
            <w:shd w:val="clear" w:color="auto" w:fill="F4EDF9"/>
            <w:vAlign w:val="center"/>
          </w:tcPr>
          <w:p w14:paraId="2B6A06DA" w14:textId="783A0C3F" w:rsidR="00397D31" w:rsidRPr="00E00FD4" w:rsidRDefault="00C951E6" w:rsidP="005F57FA">
            <w:pPr>
              <w:pStyle w:val="ListParagraph"/>
              <w:ind w:left="0"/>
              <w:rPr>
                <w:rFonts w:ascii="Arial" w:hAnsi="Arial" w:cs="Arial"/>
                <w:sz w:val="18"/>
                <w:szCs w:val="18"/>
              </w:rPr>
            </w:pPr>
            <w:r w:rsidRPr="00C951E6">
              <w:rPr>
                <w:rFonts w:ascii="Arial" w:hAnsi="Arial" w:cs="Arial"/>
                <w:sz w:val="18"/>
                <w:szCs w:val="18"/>
              </w:rPr>
              <w:t>Within 30 days of verification that all conditional requirements have been completed.</w:t>
            </w:r>
          </w:p>
        </w:tc>
        <w:tc>
          <w:tcPr>
            <w:tcW w:w="1440" w:type="dxa"/>
            <w:shd w:val="clear" w:color="auto" w:fill="F4EDF9"/>
            <w:vAlign w:val="center"/>
          </w:tcPr>
          <w:p w14:paraId="0012BFFB" w14:textId="25B129BA" w:rsidR="00397D31" w:rsidRPr="00A715F8" w:rsidRDefault="00F1367E" w:rsidP="005F57FA">
            <w:pPr>
              <w:pStyle w:val="ListParagraph"/>
              <w:ind w:left="0"/>
              <w:rPr>
                <w:rFonts w:ascii="Arial" w:hAnsi="Arial" w:cs="Arial"/>
                <w:sz w:val="18"/>
                <w:szCs w:val="18"/>
              </w:rPr>
            </w:pPr>
            <w:r>
              <w:rPr>
                <w:rFonts w:ascii="Arial" w:hAnsi="Arial" w:cs="Arial"/>
                <w:sz w:val="18"/>
                <w:szCs w:val="18"/>
              </w:rPr>
              <w:t xml:space="preserve">None to Applicant. </w:t>
            </w:r>
          </w:p>
        </w:tc>
      </w:tr>
      <w:tr w:rsidR="00397D31" w14:paraId="03305848" w14:textId="77777777" w:rsidTr="00D117F8">
        <w:trPr>
          <w:trHeight w:val="720"/>
        </w:trPr>
        <w:tc>
          <w:tcPr>
            <w:tcW w:w="693" w:type="dxa"/>
            <w:vAlign w:val="center"/>
          </w:tcPr>
          <w:p w14:paraId="597B7DEA" w14:textId="77777777" w:rsidR="00397D31" w:rsidRPr="00F05CBF" w:rsidRDefault="00397D31" w:rsidP="00397D31">
            <w:pPr>
              <w:pStyle w:val="ListParagraph"/>
              <w:ind w:left="0"/>
              <w:jc w:val="center"/>
              <w:rPr>
                <w:rFonts w:ascii="Arial" w:hAnsi="Arial" w:cs="Arial"/>
                <w:b/>
                <w:bCs/>
                <w:sz w:val="28"/>
                <w:szCs w:val="28"/>
              </w:rPr>
            </w:pPr>
            <w:r>
              <w:rPr>
                <w:rFonts w:ascii="Arial" w:hAnsi="Arial" w:cs="Arial"/>
                <w:b/>
                <w:bCs/>
                <w:sz w:val="28"/>
                <w:szCs w:val="28"/>
              </w:rPr>
              <w:t>7</w:t>
            </w:r>
          </w:p>
        </w:tc>
        <w:tc>
          <w:tcPr>
            <w:tcW w:w="4860" w:type="dxa"/>
            <w:vAlign w:val="center"/>
          </w:tcPr>
          <w:p w14:paraId="719A5A4A" w14:textId="40A109FC" w:rsidR="00397D31" w:rsidRPr="00397D31" w:rsidRDefault="00C951E6" w:rsidP="00397D31">
            <w:pPr>
              <w:pStyle w:val="ListParagraph"/>
              <w:ind w:left="0"/>
              <w:rPr>
                <w:rFonts w:ascii="Arial" w:hAnsi="Arial" w:cs="Arial"/>
                <w:sz w:val="18"/>
                <w:szCs w:val="18"/>
              </w:rPr>
            </w:pPr>
            <w:r w:rsidRPr="00C951E6">
              <w:rPr>
                <w:rFonts w:ascii="Arial" w:hAnsi="Arial" w:cs="Arial"/>
                <w:b/>
                <w:bCs/>
                <w:sz w:val="18"/>
                <w:szCs w:val="18"/>
              </w:rPr>
              <w:t xml:space="preserve">Project Environmental Review </w:t>
            </w:r>
            <w:r w:rsidR="00A715F8">
              <w:rPr>
                <w:rFonts w:ascii="Arial" w:hAnsi="Arial" w:cs="Arial"/>
                <w:b/>
                <w:bCs/>
                <w:sz w:val="18"/>
                <w:szCs w:val="18"/>
              </w:rPr>
              <w:br/>
            </w:r>
            <w:r w:rsidRPr="00A715F8">
              <w:rPr>
                <w:rFonts w:ascii="Arial" w:hAnsi="Arial" w:cs="Arial"/>
                <w:sz w:val="18"/>
                <w:szCs w:val="18"/>
              </w:rPr>
              <w:t>TCPDC completes all required environmental reviews in accordance with HCR program requirements. Reviews may include, but are not limited to, Environmental Review, Lead Risk Assessment, historic preservation review, and other applicable federal, state, and local environmental compliance requirements. Construction activities may not begin until all required environmental clearances have been received.</w:t>
            </w:r>
          </w:p>
        </w:tc>
        <w:tc>
          <w:tcPr>
            <w:tcW w:w="4617" w:type="dxa"/>
            <w:vAlign w:val="center"/>
          </w:tcPr>
          <w:p w14:paraId="48BA622F" w14:textId="54AD9275" w:rsidR="005F57FA" w:rsidRDefault="00C951E6" w:rsidP="005F57FA">
            <w:pPr>
              <w:pStyle w:val="ListParagraph"/>
              <w:numPr>
                <w:ilvl w:val="0"/>
                <w:numId w:val="36"/>
              </w:numPr>
              <w:rPr>
                <w:rFonts w:ascii="Arial" w:hAnsi="Arial" w:cs="Arial"/>
                <w:sz w:val="18"/>
                <w:szCs w:val="18"/>
              </w:rPr>
            </w:pPr>
            <w:r w:rsidRPr="005F57FA">
              <w:rPr>
                <w:rFonts w:ascii="Arial" w:hAnsi="Arial" w:cs="Arial"/>
                <w:sz w:val="18"/>
                <w:szCs w:val="18"/>
              </w:rPr>
              <w:t xml:space="preserve">Environmental conditions make the project </w:t>
            </w:r>
            <w:r w:rsidR="00A715F8" w:rsidRPr="005F57FA">
              <w:rPr>
                <w:rFonts w:ascii="Arial" w:hAnsi="Arial" w:cs="Arial"/>
                <w:sz w:val="18"/>
                <w:szCs w:val="18"/>
              </w:rPr>
              <w:t>infeasible,</w:t>
            </w:r>
            <w:r w:rsidRPr="005F57FA">
              <w:rPr>
                <w:rFonts w:ascii="Arial" w:hAnsi="Arial" w:cs="Arial"/>
                <w:sz w:val="18"/>
                <w:szCs w:val="18"/>
              </w:rPr>
              <w:t xml:space="preserve"> and the application is denied.</w:t>
            </w:r>
            <w:r w:rsidR="00C12CA9">
              <w:rPr>
                <w:rFonts w:ascii="Arial" w:hAnsi="Arial" w:cs="Arial"/>
                <w:sz w:val="18"/>
                <w:szCs w:val="18"/>
              </w:rPr>
              <w:br/>
            </w:r>
            <w:r w:rsidR="00C12CA9">
              <w:rPr>
                <w:rFonts w:ascii="Arial" w:hAnsi="Arial" w:cs="Arial"/>
                <w:sz w:val="18"/>
                <w:szCs w:val="18"/>
              </w:rPr>
              <w:br/>
              <w:t>OR</w:t>
            </w:r>
            <w:r w:rsidR="00C12CA9">
              <w:rPr>
                <w:rFonts w:ascii="Arial" w:hAnsi="Arial" w:cs="Arial"/>
                <w:sz w:val="18"/>
                <w:szCs w:val="18"/>
              </w:rPr>
              <w:br/>
            </w:r>
          </w:p>
          <w:p w14:paraId="78F2A0CA" w14:textId="5E6EACA8" w:rsidR="005F57FA" w:rsidRDefault="00C951E6" w:rsidP="005F57FA">
            <w:pPr>
              <w:pStyle w:val="ListParagraph"/>
              <w:numPr>
                <w:ilvl w:val="0"/>
                <w:numId w:val="36"/>
              </w:numPr>
              <w:rPr>
                <w:rFonts w:ascii="Arial" w:hAnsi="Arial" w:cs="Arial"/>
                <w:sz w:val="18"/>
                <w:szCs w:val="18"/>
              </w:rPr>
            </w:pPr>
            <w:r w:rsidRPr="005F57FA">
              <w:rPr>
                <w:rFonts w:ascii="Arial" w:hAnsi="Arial" w:cs="Arial"/>
                <w:sz w:val="18"/>
                <w:szCs w:val="18"/>
              </w:rPr>
              <w:t xml:space="preserve">Applicant declines to comply with required environmental </w:t>
            </w:r>
            <w:r w:rsidR="00A715F8" w:rsidRPr="005F57FA">
              <w:rPr>
                <w:rFonts w:ascii="Arial" w:hAnsi="Arial" w:cs="Arial"/>
                <w:sz w:val="18"/>
                <w:szCs w:val="18"/>
              </w:rPr>
              <w:t>conditions,</w:t>
            </w:r>
            <w:r w:rsidRPr="005F57FA">
              <w:rPr>
                <w:rFonts w:ascii="Arial" w:hAnsi="Arial" w:cs="Arial"/>
                <w:sz w:val="18"/>
                <w:szCs w:val="18"/>
              </w:rPr>
              <w:t xml:space="preserve"> and the application is denied.</w:t>
            </w:r>
            <w:r w:rsidR="00C12CA9">
              <w:rPr>
                <w:rFonts w:ascii="Arial" w:hAnsi="Arial" w:cs="Arial"/>
                <w:sz w:val="18"/>
                <w:szCs w:val="18"/>
              </w:rPr>
              <w:br/>
            </w:r>
            <w:r w:rsidR="00C12CA9">
              <w:rPr>
                <w:rFonts w:ascii="Arial" w:hAnsi="Arial" w:cs="Arial"/>
                <w:sz w:val="18"/>
                <w:szCs w:val="18"/>
              </w:rPr>
              <w:br/>
              <w:t>OR</w:t>
            </w:r>
            <w:r w:rsidR="00C12CA9">
              <w:rPr>
                <w:rFonts w:ascii="Arial" w:hAnsi="Arial" w:cs="Arial"/>
                <w:sz w:val="18"/>
                <w:szCs w:val="18"/>
              </w:rPr>
              <w:br/>
            </w:r>
          </w:p>
          <w:p w14:paraId="4986B262" w14:textId="39291AB7" w:rsidR="00397D31" w:rsidRPr="005F57FA" w:rsidRDefault="00C951E6" w:rsidP="005F57FA">
            <w:pPr>
              <w:pStyle w:val="ListParagraph"/>
              <w:numPr>
                <w:ilvl w:val="0"/>
                <w:numId w:val="36"/>
              </w:numPr>
              <w:rPr>
                <w:rFonts w:ascii="Arial" w:hAnsi="Arial" w:cs="Arial"/>
                <w:sz w:val="18"/>
                <w:szCs w:val="18"/>
              </w:rPr>
            </w:pPr>
            <w:r w:rsidRPr="005F57FA">
              <w:rPr>
                <w:rFonts w:ascii="Arial" w:hAnsi="Arial" w:cs="Arial"/>
                <w:sz w:val="18"/>
                <w:szCs w:val="18"/>
              </w:rPr>
              <w:t>Environmental review is completed successfully and the project advances to Step 8.</w:t>
            </w:r>
          </w:p>
        </w:tc>
        <w:tc>
          <w:tcPr>
            <w:tcW w:w="1683" w:type="dxa"/>
            <w:vAlign w:val="center"/>
          </w:tcPr>
          <w:p w14:paraId="0D481E4D" w14:textId="6C42C799" w:rsidR="00397D31" w:rsidRPr="00E00FD4" w:rsidRDefault="00C951E6" w:rsidP="005F57FA">
            <w:pPr>
              <w:pStyle w:val="ListParagraph"/>
              <w:ind w:left="0"/>
              <w:rPr>
                <w:rFonts w:ascii="Arial" w:hAnsi="Arial" w:cs="Arial"/>
                <w:sz w:val="18"/>
                <w:szCs w:val="18"/>
              </w:rPr>
            </w:pPr>
            <w:r w:rsidRPr="00C951E6">
              <w:rPr>
                <w:rFonts w:ascii="Arial" w:hAnsi="Arial" w:cs="Arial"/>
                <w:sz w:val="18"/>
                <w:szCs w:val="18"/>
              </w:rPr>
              <w:t>Typically completed within 30–45 days following Board approval and funding commitment.</w:t>
            </w:r>
          </w:p>
        </w:tc>
        <w:tc>
          <w:tcPr>
            <w:tcW w:w="1440" w:type="dxa"/>
            <w:vAlign w:val="center"/>
          </w:tcPr>
          <w:p w14:paraId="4F7629D9" w14:textId="0F2C44C4" w:rsidR="00397D31" w:rsidRPr="00E00FD4" w:rsidRDefault="00397D31" w:rsidP="005F57FA">
            <w:pPr>
              <w:pStyle w:val="ListParagraph"/>
              <w:ind w:left="0"/>
              <w:rPr>
                <w:rFonts w:ascii="Arial" w:hAnsi="Arial" w:cs="Arial"/>
                <w:sz w:val="18"/>
                <w:szCs w:val="18"/>
              </w:rPr>
            </w:pPr>
            <w:r w:rsidRPr="00397D31">
              <w:rPr>
                <w:rFonts w:ascii="Arial" w:hAnsi="Arial" w:cs="Arial"/>
                <w:sz w:val="18"/>
                <w:szCs w:val="18"/>
              </w:rPr>
              <w:t>None to Applicant.</w:t>
            </w:r>
          </w:p>
        </w:tc>
      </w:tr>
      <w:tr w:rsidR="00397D31" w14:paraId="603630FC" w14:textId="77777777" w:rsidTr="00397D31">
        <w:trPr>
          <w:trHeight w:val="971"/>
        </w:trPr>
        <w:tc>
          <w:tcPr>
            <w:tcW w:w="693" w:type="dxa"/>
            <w:shd w:val="clear" w:color="auto" w:fill="F4EDF9"/>
            <w:vAlign w:val="center"/>
          </w:tcPr>
          <w:p w14:paraId="70B76B97" w14:textId="77777777" w:rsidR="00397D31" w:rsidRDefault="00397D31" w:rsidP="00397D31">
            <w:pPr>
              <w:pStyle w:val="ListParagraph"/>
              <w:ind w:left="0"/>
              <w:jc w:val="center"/>
              <w:rPr>
                <w:rFonts w:ascii="Arial" w:hAnsi="Arial" w:cs="Arial"/>
                <w:b/>
                <w:bCs/>
                <w:sz w:val="28"/>
                <w:szCs w:val="28"/>
              </w:rPr>
            </w:pPr>
            <w:r>
              <w:rPr>
                <w:rFonts w:ascii="Arial" w:hAnsi="Arial" w:cs="Arial"/>
                <w:b/>
                <w:bCs/>
                <w:sz w:val="28"/>
                <w:szCs w:val="28"/>
              </w:rPr>
              <w:t>8</w:t>
            </w:r>
          </w:p>
        </w:tc>
        <w:tc>
          <w:tcPr>
            <w:tcW w:w="4860" w:type="dxa"/>
            <w:shd w:val="clear" w:color="auto" w:fill="F4EDF9"/>
            <w:vAlign w:val="center"/>
          </w:tcPr>
          <w:p w14:paraId="47A76ADB" w14:textId="466AF08D" w:rsidR="00397D31" w:rsidRPr="00397D31" w:rsidRDefault="00C951E6" w:rsidP="00397D31">
            <w:pPr>
              <w:pStyle w:val="ListParagraph"/>
              <w:ind w:left="0"/>
              <w:rPr>
                <w:rFonts w:ascii="Arial" w:hAnsi="Arial" w:cs="Arial"/>
                <w:sz w:val="18"/>
                <w:szCs w:val="18"/>
              </w:rPr>
            </w:pPr>
            <w:r w:rsidRPr="00C951E6">
              <w:rPr>
                <w:rFonts w:ascii="Arial" w:hAnsi="Arial" w:cs="Arial"/>
                <w:b/>
                <w:bCs/>
                <w:sz w:val="18"/>
                <w:szCs w:val="18"/>
              </w:rPr>
              <w:t xml:space="preserve">Final Scope of Work &amp; Cost Estimate </w:t>
            </w:r>
            <w:r w:rsidR="00A715F8">
              <w:rPr>
                <w:rFonts w:ascii="Arial" w:hAnsi="Arial" w:cs="Arial"/>
                <w:b/>
                <w:bCs/>
                <w:sz w:val="18"/>
                <w:szCs w:val="18"/>
              </w:rPr>
              <w:br/>
            </w:r>
            <w:r w:rsidRPr="00A715F8">
              <w:rPr>
                <w:rFonts w:ascii="Arial" w:hAnsi="Arial" w:cs="Arial"/>
                <w:sz w:val="18"/>
                <w:szCs w:val="18"/>
              </w:rPr>
              <w:t xml:space="preserve">TCPDC's Construction Management Consultant prepares the final detailed Scope of Work and cost estimate based on program requirements and environmental review </w:t>
            </w:r>
            <w:r w:rsidRPr="00A715F8">
              <w:rPr>
                <w:rFonts w:ascii="Arial" w:hAnsi="Arial" w:cs="Arial"/>
                <w:sz w:val="18"/>
                <w:szCs w:val="18"/>
              </w:rPr>
              <w:lastRenderedPageBreak/>
              <w:t>findings. The proposed rehabilitation activities are reviewed with the applicant prior to bidding.</w:t>
            </w:r>
          </w:p>
        </w:tc>
        <w:tc>
          <w:tcPr>
            <w:tcW w:w="4617" w:type="dxa"/>
            <w:shd w:val="clear" w:color="auto" w:fill="F4EDF9"/>
            <w:vAlign w:val="center"/>
          </w:tcPr>
          <w:p w14:paraId="6C0D1D28" w14:textId="406FF850" w:rsidR="00C12CA9" w:rsidRDefault="00C951E6" w:rsidP="00C12CA9">
            <w:pPr>
              <w:pStyle w:val="ListParagraph"/>
              <w:numPr>
                <w:ilvl w:val="0"/>
                <w:numId w:val="37"/>
              </w:numPr>
              <w:rPr>
                <w:rFonts w:ascii="Arial" w:hAnsi="Arial" w:cs="Arial"/>
                <w:sz w:val="18"/>
                <w:szCs w:val="18"/>
              </w:rPr>
            </w:pPr>
            <w:r w:rsidRPr="00C12CA9">
              <w:rPr>
                <w:rFonts w:ascii="Arial" w:hAnsi="Arial" w:cs="Arial"/>
                <w:sz w:val="18"/>
                <w:szCs w:val="18"/>
              </w:rPr>
              <w:lastRenderedPageBreak/>
              <w:t xml:space="preserve">Applicant elects not to </w:t>
            </w:r>
            <w:r w:rsidR="00A715F8" w:rsidRPr="00C12CA9">
              <w:rPr>
                <w:rFonts w:ascii="Arial" w:hAnsi="Arial" w:cs="Arial"/>
                <w:sz w:val="18"/>
                <w:szCs w:val="18"/>
              </w:rPr>
              <w:t>proceed,</w:t>
            </w:r>
            <w:r w:rsidRPr="00C12CA9">
              <w:rPr>
                <w:rFonts w:ascii="Arial" w:hAnsi="Arial" w:cs="Arial"/>
                <w:sz w:val="18"/>
                <w:szCs w:val="18"/>
              </w:rPr>
              <w:t xml:space="preserve"> and the application is withdrawn.</w:t>
            </w:r>
            <w:r w:rsidR="00C12CA9" w:rsidRPr="00C12CA9">
              <w:rPr>
                <w:rFonts w:ascii="Arial" w:hAnsi="Arial" w:cs="Arial"/>
                <w:sz w:val="18"/>
                <w:szCs w:val="18"/>
              </w:rPr>
              <w:t xml:space="preserve"> </w:t>
            </w:r>
            <w:r w:rsidR="00C12CA9">
              <w:rPr>
                <w:rFonts w:ascii="Arial" w:hAnsi="Arial" w:cs="Arial"/>
                <w:sz w:val="18"/>
                <w:szCs w:val="18"/>
              </w:rPr>
              <w:br/>
            </w:r>
            <w:r w:rsidR="00C12CA9">
              <w:rPr>
                <w:rFonts w:ascii="Arial" w:hAnsi="Arial" w:cs="Arial"/>
                <w:sz w:val="18"/>
                <w:szCs w:val="18"/>
              </w:rPr>
              <w:br/>
              <w:t>OR</w:t>
            </w:r>
            <w:r w:rsidR="00C12CA9">
              <w:rPr>
                <w:rFonts w:ascii="Arial" w:hAnsi="Arial" w:cs="Arial"/>
                <w:sz w:val="18"/>
                <w:szCs w:val="18"/>
              </w:rPr>
              <w:br/>
            </w:r>
          </w:p>
          <w:p w14:paraId="65F47D08" w14:textId="3DD7F703" w:rsidR="00C12CA9" w:rsidRDefault="00C951E6" w:rsidP="00C12CA9">
            <w:pPr>
              <w:pStyle w:val="ListParagraph"/>
              <w:numPr>
                <w:ilvl w:val="0"/>
                <w:numId w:val="37"/>
              </w:numPr>
              <w:rPr>
                <w:rFonts w:ascii="Arial" w:hAnsi="Arial" w:cs="Arial"/>
                <w:sz w:val="18"/>
                <w:szCs w:val="18"/>
              </w:rPr>
            </w:pPr>
            <w:r w:rsidRPr="00C12CA9">
              <w:rPr>
                <w:rFonts w:ascii="Arial" w:hAnsi="Arial" w:cs="Arial"/>
                <w:sz w:val="18"/>
                <w:szCs w:val="18"/>
              </w:rPr>
              <w:lastRenderedPageBreak/>
              <w:t xml:space="preserve">Project is determined no longer feasible and funding is </w:t>
            </w:r>
            <w:r w:rsidR="00C12CA9" w:rsidRPr="00C12CA9">
              <w:rPr>
                <w:rFonts w:ascii="Arial" w:hAnsi="Arial" w:cs="Arial"/>
                <w:sz w:val="18"/>
                <w:szCs w:val="18"/>
              </w:rPr>
              <w:t xml:space="preserve">withdrawn. </w:t>
            </w:r>
            <w:r w:rsidR="00C12CA9">
              <w:rPr>
                <w:rFonts w:ascii="Arial" w:hAnsi="Arial" w:cs="Arial"/>
                <w:sz w:val="18"/>
                <w:szCs w:val="18"/>
              </w:rPr>
              <w:br/>
            </w:r>
            <w:r w:rsidR="00C12CA9">
              <w:rPr>
                <w:rFonts w:ascii="Arial" w:hAnsi="Arial" w:cs="Arial"/>
                <w:sz w:val="18"/>
                <w:szCs w:val="18"/>
              </w:rPr>
              <w:br/>
              <w:t>OR</w:t>
            </w:r>
          </w:p>
          <w:p w14:paraId="69B66B39" w14:textId="77777777" w:rsidR="00C12CA9" w:rsidRPr="00C12CA9" w:rsidRDefault="00C12CA9" w:rsidP="00C12CA9">
            <w:pPr>
              <w:rPr>
                <w:rFonts w:ascii="Arial" w:hAnsi="Arial" w:cs="Arial"/>
                <w:sz w:val="18"/>
                <w:szCs w:val="18"/>
              </w:rPr>
            </w:pPr>
          </w:p>
          <w:p w14:paraId="7CBB2CCB" w14:textId="4E24699D" w:rsidR="00397D31" w:rsidRPr="00C12CA9" w:rsidRDefault="00C12CA9" w:rsidP="00C12CA9">
            <w:pPr>
              <w:pStyle w:val="ListParagraph"/>
              <w:numPr>
                <w:ilvl w:val="0"/>
                <w:numId w:val="37"/>
              </w:numPr>
              <w:rPr>
                <w:rFonts w:ascii="Arial" w:hAnsi="Arial" w:cs="Arial"/>
                <w:sz w:val="18"/>
                <w:szCs w:val="18"/>
              </w:rPr>
            </w:pPr>
            <w:r w:rsidRPr="00C12CA9">
              <w:rPr>
                <w:rFonts w:ascii="Arial" w:hAnsi="Arial" w:cs="Arial"/>
                <w:sz w:val="18"/>
                <w:szCs w:val="18"/>
              </w:rPr>
              <w:t>Applicant</w:t>
            </w:r>
            <w:r w:rsidR="00C951E6" w:rsidRPr="00C12CA9">
              <w:rPr>
                <w:rFonts w:ascii="Arial" w:hAnsi="Arial" w:cs="Arial"/>
                <w:sz w:val="18"/>
                <w:szCs w:val="18"/>
              </w:rPr>
              <w:t xml:space="preserve"> accepts the final Scope of Work and the project advances to Step 9.</w:t>
            </w:r>
          </w:p>
        </w:tc>
        <w:tc>
          <w:tcPr>
            <w:tcW w:w="1683" w:type="dxa"/>
            <w:shd w:val="clear" w:color="auto" w:fill="F4EDF9"/>
            <w:vAlign w:val="center"/>
          </w:tcPr>
          <w:p w14:paraId="51C86AE9" w14:textId="3A1D0DF5" w:rsidR="00397D31" w:rsidRPr="00E00FD4" w:rsidRDefault="00C951E6" w:rsidP="005F57FA">
            <w:pPr>
              <w:pStyle w:val="ListParagraph"/>
              <w:ind w:left="0"/>
              <w:rPr>
                <w:rFonts w:ascii="Arial" w:hAnsi="Arial" w:cs="Arial"/>
                <w:sz w:val="18"/>
                <w:szCs w:val="18"/>
              </w:rPr>
            </w:pPr>
            <w:r w:rsidRPr="00C951E6">
              <w:rPr>
                <w:rFonts w:ascii="Arial" w:hAnsi="Arial" w:cs="Arial"/>
                <w:sz w:val="18"/>
                <w:szCs w:val="18"/>
              </w:rPr>
              <w:lastRenderedPageBreak/>
              <w:t xml:space="preserve">Within </w:t>
            </w:r>
            <w:r w:rsidRPr="00A715F8">
              <w:rPr>
                <w:rFonts w:ascii="Arial" w:hAnsi="Arial" w:cs="Arial"/>
                <w:sz w:val="18"/>
                <w:szCs w:val="18"/>
              </w:rPr>
              <w:t xml:space="preserve">30–60 days </w:t>
            </w:r>
            <w:r w:rsidRPr="00C951E6">
              <w:rPr>
                <w:rFonts w:ascii="Arial" w:hAnsi="Arial" w:cs="Arial"/>
                <w:sz w:val="18"/>
                <w:szCs w:val="18"/>
              </w:rPr>
              <w:t>following completion of the Environmental Review.</w:t>
            </w:r>
          </w:p>
        </w:tc>
        <w:tc>
          <w:tcPr>
            <w:tcW w:w="1440" w:type="dxa"/>
            <w:shd w:val="clear" w:color="auto" w:fill="F4EDF9"/>
            <w:vAlign w:val="center"/>
          </w:tcPr>
          <w:p w14:paraId="33B274C3" w14:textId="7857CA31" w:rsidR="00397D31" w:rsidRPr="00E00FD4" w:rsidRDefault="00C951E6" w:rsidP="005F57FA">
            <w:pPr>
              <w:pStyle w:val="ListParagraph"/>
              <w:ind w:left="0"/>
              <w:rPr>
                <w:rFonts w:ascii="Arial" w:hAnsi="Arial" w:cs="Arial"/>
                <w:sz w:val="18"/>
                <w:szCs w:val="18"/>
              </w:rPr>
            </w:pPr>
            <w:r>
              <w:rPr>
                <w:rFonts w:ascii="Arial" w:hAnsi="Arial" w:cs="Arial"/>
                <w:sz w:val="18"/>
                <w:szCs w:val="18"/>
              </w:rPr>
              <w:t>None to Applicant.</w:t>
            </w:r>
          </w:p>
        </w:tc>
      </w:tr>
      <w:tr w:rsidR="00397D31" w14:paraId="199C7F34" w14:textId="77777777" w:rsidTr="00D117F8">
        <w:trPr>
          <w:trHeight w:val="720"/>
        </w:trPr>
        <w:tc>
          <w:tcPr>
            <w:tcW w:w="693" w:type="dxa"/>
            <w:vAlign w:val="center"/>
          </w:tcPr>
          <w:p w14:paraId="1A020CB7" w14:textId="77777777" w:rsidR="00397D31" w:rsidRDefault="00397D31" w:rsidP="00397D31">
            <w:pPr>
              <w:pStyle w:val="ListParagraph"/>
              <w:ind w:left="0"/>
              <w:jc w:val="center"/>
              <w:rPr>
                <w:rFonts w:ascii="Arial" w:hAnsi="Arial" w:cs="Arial"/>
                <w:b/>
                <w:bCs/>
                <w:sz w:val="28"/>
                <w:szCs w:val="28"/>
              </w:rPr>
            </w:pPr>
            <w:r>
              <w:rPr>
                <w:rFonts w:ascii="Arial" w:hAnsi="Arial" w:cs="Arial"/>
                <w:b/>
                <w:bCs/>
                <w:sz w:val="28"/>
                <w:szCs w:val="28"/>
              </w:rPr>
              <w:t>9</w:t>
            </w:r>
          </w:p>
        </w:tc>
        <w:tc>
          <w:tcPr>
            <w:tcW w:w="4860" w:type="dxa"/>
            <w:vAlign w:val="center"/>
          </w:tcPr>
          <w:p w14:paraId="5BAE81CD" w14:textId="7DBA892D" w:rsidR="00397D31" w:rsidRPr="00384587" w:rsidRDefault="00C951E6" w:rsidP="00397D31">
            <w:pPr>
              <w:pStyle w:val="ListParagraph"/>
              <w:ind w:left="0"/>
              <w:rPr>
                <w:rFonts w:ascii="Arial" w:hAnsi="Arial" w:cs="Arial"/>
                <w:b/>
                <w:bCs/>
                <w:sz w:val="18"/>
                <w:szCs w:val="18"/>
              </w:rPr>
            </w:pPr>
            <w:r w:rsidRPr="00C951E6">
              <w:rPr>
                <w:rFonts w:ascii="Arial" w:hAnsi="Arial" w:cs="Arial"/>
                <w:b/>
                <w:bCs/>
                <w:sz w:val="18"/>
                <w:szCs w:val="18"/>
              </w:rPr>
              <w:t xml:space="preserve">Project Bidding &amp; Contractor Selection </w:t>
            </w:r>
            <w:r w:rsidR="00A715F8">
              <w:rPr>
                <w:rFonts w:ascii="Arial" w:hAnsi="Arial" w:cs="Arial"/>
                <w:b/>
                <w:bCs/>
                <w:sz w:val="18"/>
                <w:szCs w:val="18"/>
              </w:rPr>
              <w:br/>
            </w:r>
            <w:r w:rsidRPr="00A715F8">
              <w:rPr>
                <w:rFonts w:ascii="Arial" w:hAnsi="Arial" w:cs="Arial"/>
                <w:sz w:val="18"/>
                <w:szCs w:val="18"/>
              </w:rPr>
              <w:t>TCPDC, through its Construction Management Consultant, publicly solicits bids, reviews proposals, evaluates contractor qualifications, and recommends the lowest responsible bidder. Applicants will be provided an opportunity to participate in contractor selection discussions.</w:t>
            </w:r>
          </w:p>
        </w:tc>
        <w:tc>
          <w:tcPr>
            <w:tcW w:w="4617" w:type="dxa"/>
            <w:vAlign w:val="center"/>
          </w:tcPr>
          <w:p w14:paraId="32494E79" w14:textId="7660CD56" w:rsidR="00C12CA9" w:rsidRDefault="00C951E6" w:rsidP="00C12CA9">
            <w:pPr>
              <w:pStyle w:val="ListParagraph"/>
              <w:numPr>
                <w:ilvl w:val="0"/>
                <w:numId w:val="38"/>
              </w:numPr>
              <w:rPr>
                <w:rFonts w:ascii="Arial" w:hAnsi="Arial" w:cs="Arial"/>
                <w:sz w:val="18"/>
                <w:szCs w:val="18"/>
              </w:rPr>
            </w:pPr>
            <w:r w:rsidRPr="00C12CA9">
              <w:rPr>
                <w:rFonts w:ascii="Arial" w:hAnsi="Arial" w:cs="Arial"/>
                <w:sz w:val="18"/>
                <w:szCs w:val="18"/>
              </w:rPr>
              <w:t xml:space="preserve">No acceptable bids are </w:t>
            </w:r>
            <w:r w:rsidR="00A715F8" w:rsidRPr="00C12CA9">
              <w:rPr>
                <w:rFonts w:ascii="Arial" w:hAnsi="Arial" w:cs="Arial"/>
                <w:sz w:val="18"/>
                <w:szCs w:val="18"/>
              </w:rPr>
              <w:t>received,</w:t>
            </w:r>
            <w:r w:rsidRPr="00C12CA9">
              <w:rPr>
                <w:rFonts w:ascii="Arial" w:hAnsi="Arial" w:cs="Arial"/>
                <w:sz w:val="18"/>
                <w:szCs w:val="18"/>
              </w:rPr>
              <w:t xml:space="preserve"> and the project is rebid or reevaluated.</w:t>
            </w:r>
            <w:r w:rsidR="00C12CA9">
              <w:rPr>
                <w:rFonts w:ascii="Arial" w:hAnsi="Arial" w:cs="Arial"/>
                <w:sz w:val="18"/>
                <w:szCs w:val="18"/>
              </w:rPr>
              <w:br/>
            </w:r>
            <w:r w:rsidR="00C12CA9">
              <w:rPr>
                <w:rFonts w:ascii="Arial" w:hAnsi="Arial" w:cs="Arial"/>
                <w:sz w:val="18"/>
                <w:szCs w:val="18"/>
              </w:rPr>
              <w:br/>
              <w:t>OR</w:t>
            </w:r>
            <w:r w:rsidR="00C12CA9">
              <w:rPr>
                <w:rFonts w:ascii="Arial" w:hAnsi="Arial" w:cs="Arial"/>
                <w:sz w:val="18"/>
                <w:szCs w:val="18"/>
              </w:rPr>
              <w:br/>
            </w:r>
          </w:p>
          <w:p w14:paraId="5BB03DD3" w14:textId="3EE9B8F9" w:rsidR="00C12CA9" w:rsidRDefault="00C951E6" w:rsidP="00C12CA9">
            <w:pPr>
              <w:pStyle w:val="ListParagraph"/>
              <w:numPr>
                <w:ilvl w:val="0"/>
                <w:numId w:val="38"/>
              </w:numPr>
              <w:rPr>
                <w:rFonts w:ascii="Arial" w:hAnsi="Arial" w:cs="Arial"/>
                <w:sz w:val="18"/>
                <w:szCs w:val="18"/>
              </w:rPr>
            </w:pPr>
            <w:r w:rsidRPr="00C12CA9">
              <w:rPr>
                <w:rFonts w:ascii="Arial" w:hAnsi="Arial" w:cs="Arial"/>
                <w:sz w:val="18"/>
                <w:szCs w:val="18"/>
              </w:rPr>
              <w:t>Applicant chooses not to proceed and funding is withdrawn.</w:t>
            </w:r>
            <w:r w:rsidR="00C12CA9">
              <w:rPr>
                <w:rFonts w:ascii="Arial" w:hAnsi="Arial" w:cs="Arial"/>
                <w:sz w:val="18"/>
                <w:szCs w:val="18"/>
              </w:rPr>
              <w:br/>
            </w:r>
            <w:r w:rsidR="00C12CA9">
              <w:rPr>
                <w:rFonts w:ascii="Arial" w:hAnsi="Arial" w:cs="Arial"/>
                <w:sz w:val="18"/>
                <w:szCs w:val="18"/>
              </w:rPr>
              <w:br/>
              <w:t xml:space="preserve">OR </w:t>
            </w:r>
            <w:r w:rsidR="00C12CA9">
              <w:rPr>
                <w:rFonts w:ascii="Arial" w:hAnsi="Arial" w:cs="Arial"/>
                <w:sz w:val="18"/>
                <w:szCs w:val="18"/>
              </w:rPr>
              <w:br/>
            </w:r>
          </w:p>
          <w:p w14:paraId="50B66D96" w14:textId="41545791" w:rsidR="00397D31" w:rsidRPr="00C12CA9" w:rsidRDefault="00C951E6" w:rsidP="00C12CA9">
            <w:pPr>
              <w:pStyle w:val="ListParagraph"/>
              <w:numPr>
                <w:ilvl w:val="0"/>
                <w:numId w:val="38"/>
              </w:numPr>
              <w:rPr>
                <w:rFonts w:ascii="Arial" w:hAnsi="Arial" w:cs="Arial"/>
                <w:sz w:val="18"/>
                <w:szCs w:val="18"/>
              </w:rPr>
            </w:pPr>
            <w:r w:rsidRPr="00C12CA9">
              <w:rPr>
                <w:rFonts w:ascii="Arial" w:hAnsi="Arial" w:cs="Arial"/>
                <w:sz w:val="18"/>
                <w:szCs w:val="18"/>
              </w:rPr>
              <w:t>TCPDC and the applicant agree upon the contractor and the project advances to Step 10.</w:t>
            </w:r>
          </w:p>
        </w:tc>
        <w:tc>
          <w:tcPr>
            <w:tcW w:w="1683" w:type="dxa"/>
            <w:vAlign w:val="center"/>
          </w:tcPr>
          <w:p w14:paraId="760E799B" w14:textId="4CE725EB" w:rsidR="00397D31" w:rsidRPr="00E00FD4" w:rsidRDefault="00C951E6" w:rsidP="005F57FA">
            <w:pPr>
              <w:pStyle w:val="ListParagraph"/>
              <w:ind w:left="0"/>
              <w:rPr>
                <w:rFonts w:ascii="Arial" w:hAnsi="Arial" w:cs="Arial"/>
                <w:sz w:val="18"/>
                <w:szCs w:val="18"/>
              </w:rPr>
            </w:pPr>
            <w:r w:rsidRPr="00C951E6">
              <w:rPr>
                <w:rFonts w:ascii="Arial" w:hAnsi="Arial" w:cs="Arial"/>
                <w:sz w:val="18"/>
                <w:szCs w:val="18"/>
              </w:rPr>
              <w:t xml:space="preserve">Contractor selection generally occurs within </w:t>
            </w:r>
            <w:r w:rsidRPr="00A715F8">
              <w:rPr>
                <w:rFonts w:ascii="Arial" w:hAnsi="Arial" w:cs="Arial"/>
                <w:sz w:val="18"/>
                <w:szCs w:val="18"/>
              </w:rPr>
              <w:t>30–60 days</w:t>
            </w:r>
            <w:r w:rsidRPr="00C951E6">
              <w:rPr>
                <w:rFonts w:ascii="Arial" w:hAnsi="Arial" w:cs="Arial"/>
                <w:sz w:val="18"/>
                <w:szCs w:val="18"/>
              </w:rPr>
              <w:t xml:space="preserve"> following completion of the final Scope of Work.</w:t>
            </w:r>
          </w:p>
        </w:tc>
        <w:tc>
          <w:tcPr>
            <w:tcW w:w="1440" w:type="dxa"/>
            <w:vAlign w:val="center"/>
          </w:tcPr>
          <w:p w14:paraId="019704B7" w14:textId="6D338F1C" w:rsidR="00397D31" w:rsidRPr="00E00FD4" w:rsidRDefault="00C951E6" w:rsidP="005F57FA">
            <w:pPr>
              <w:pStyle w:val="ListParagraph"/>
              <w:ind w:left="0"/>
              <w:rPr>
                <w:rFonts w:ascii="Arial" w:hAnsi="Arial" w:cs="Arial"/>
                <w:sz w:val="18"/>
                <w:szCs w:val="18"/>
              </w:rPr>
            </w:pPr>
            <w:r w:rsidRPr="00C951E6">
              <w:rPr>
                <w:rFonts w:ascii="Arial" w:hAnsi="Arial" w:cs="Arial"/>
                <w:sz w:val="18"/>
                <w:szCs w:val="18"/>
              </w:rPr>
              <w:t>None to Applicant unless additional owner contributions are required.</w:t>
            </w:r>
          </w:p>
        </w:tc>
      </w:tr>
      <w:tr w:rsidR="00397D31" w:rsidRPr="00EC6FB1" w14:paraId="391BFCCC" w14:textId="77777777" w:rsidTr="00397D31">
        <w:trPr>
          <w:trHeight w:val="1061"/>
        </w:trPr>
        <w:tc>
          <w:tcPr>
            <w:tcW w:w="693" w:type="dxa"/>
            <w:shd w:val="clear" w:color="auto" w:fill="F4EDF9"/>
            <w:vAlign w:val="center"/>
          </w:tcPr>
          <w:p w14:paraId="23C8B381" w14:textId="77777777" w:rsidR="00397D31" w:rsidRDefault="00397D31" w:rsidP="00397D31">
            <w:pPr>
              <w:pStyle w:val="ListParagraph"/>
              <w:ind w:left="0"/>
              <w:jc w:val="center"/>
              <w:rPr>
                <w:rFonts w:ascii="Arial" w:hAnsi="Arial" w:cs="Arial"/>
                <w:b/>
                <w:bCs/>
                <w:sz w:val="28"/>
                <w:szCs w:val="28"/>
              </w:rPr>
            </w:pPr>
            <w:r>
              <w:rPr>
                <w:rFonts w:ascii="Arial" w:hAnsi="Arial" w:cs="Arial"/>
                <w:b/>
                <w:bCs/>
                <w:sz w:val="28"/>
                <w:szCs w:val="28"/>
              </w:rPr>
              <w:t>10</w:t>
            </w:r>
          </w:p>
        </w:tc>
        <w:tc>
          <w:tcPr>
            <w:tcW w:w="4860" w:type="dxa"/>
            <w:shd w:val="clear" w:color="auto" w:fill="F4EDF9"/>
            <w:vAlign w:val="center"/>
          </w:tcPr>
          <w:p w14:paraId="659B1106" w14:textId="10C320AB" w:rsidR="00397D31" w:rsidRPr="00384587" w:rsidRDefault="00C951E6" w:rsidP="00397D31">
            <w:pPr>
              <w:pStyle w:val="ListParagraph"/>
              <w:ind w:left="0"/>
              <w:rPr>
                <w:rFonts w:ascii="Arial" w:hAnsi="Arial" w:cs="Arial"/>
                <w:b/>
                <w:bCs/>
                <w:sz w:val="18"/>
                <w:szCs w:val="18"/>
              </w:rPr>
            </w:pPr>
            <w:r w:rsidRPr="00C951E6">
              <w:rPr>
                <w:rFonts w:ascii="Arial" w:hAnsi="Arial" w:cs="Arial"/>
                <w:b/>
                <w:bCs/>
                <w:sz w:val="18"/>
                <w:szCs w:val="18"/>
              </w:rPr>
              <w:t xml:space="preserve">Grant Agreement Execution &amp; Construction Begins </w:t>
            </w:r>
            <w:r w:rsidRPr="00A715F8">
              <w:rPr>
                <w:rFonts w:ascii="Arial" w:hAnsi="Arial" w:cs="Arial"/>
                <w:sz w:val="18"/>
                <w:szCs w:val="18"/>
              </w:rPr>
              <w:t>TCPDC, the property owner, and the selected contractor execute all required agreements. If applicable, required owner contributions are deposited into escrow prior to construction. Once all required permits, agreements, insurance documentation, and environmental approvals have been received, TCPDC issues a Notice to Proceed and construction begins. Upon successful completion of construction, final inspections, closeout documentation, and execution of all required regulatory documents, TCPDC will refund the applicant's $500 Reservation Deposit.</w:t>
            </w:r>
          </w:p>
        </w:tc>
        <w:tc>
          <w:tcPr>
            <w:tcW w:w="4617" w:type="dxa"/>
            <w:shd w:val="clear" w:color="auto" w:fill="F4EDF9"/>
            <w:vAlign w:val="center"/>
          </w:tcPr>
          <w:p w14:paraId="6E4599F1" w14:textId="77777777" w:rsidR="00C12CA9" w:rsidRDefault="00C951E6" w:rsidP="00C12CA9">
            <w:pPr>
              <w:pStyle w:val="ListParagraph"/>
              <w:numPr>
                <w:ilvl w:val="0"/>
                <w:numId w:val="39"/>
              </w:numPr>
              <w:rPr>
                <w:rFonts w:ascii="Arial" w:hAnsi="Arial" w:cs="Arial"/>
                <w:sz w:val="18"/>
                <w:szCs w:val="18"/>
              </w:rPr>
            </w:pPr>
            <w:r w:rsidRPr="00C12CA9">
              <w:rPr>
                <w:rFonts w:ascii="Arial" w:hAnsi="Arial" w:cs="Arial"/>
                <w:sz w:val="18"/>
                <w:szCs w:val="18"/>
              </w:rPr>
              <w:t>Required agreements are executed and construction begins.</w:t>
            </w:r>
          </w:p>
          <w:p w14:paraId="60F849BE" w14:textId="3BF36F72" w:rsidR="00C12CA9" w:rsidRDefault="00C951E6" w:rsidP="00C12CA9">
            <w:pPr>
              <w:pStyle w:val="ListParagraph"/>
              <w:numPr>
                <w:ilvl w:val="0"/>
                <w:numId w:val="39"/>
              </w:numPr>
              <w:rPr>
                <w:rFonts w:ascii="Arial" w:hAnsi="Arial" w:cs="Arial"/>
                <w:sz w:val="18"/>
                <w:szCs w:val="18"/>
              </w:rPr>
            </w:pPr>
            <w:r w:rsidRPr="00C12CA9">
              <w:rPr>
                <w:rFonts w:ascii="Arial" w:hAnsi="Arial" w:cs="Arial"/>
                <w:sz w:val="18"/>
                <w:szCs w:val="18"/>
              </w:rPr>
              <w:t>Construction is completed, final inspections are approved, regulatory documents are recorded, and the Reservation Deposit is refunded.</w:t>
            </w:r>
            <w:r w:rsidR="00C12CA9" w:rsidRPr="00C12CA9">
              <w:rPr>
                <w:rFonts w:ascii="Arial" w:hAnsi="Arial" w:cs="Arial"/>
                <w:sz w:val="18"/>
                <w:szCs w:val="18"/>
              </w:rPr>
              <w:t xml:space="preserve"> </w:t>
            </w:r>
            <w:r w:rsidR="00C12CA9">
              <w:rPr>
                <w:rFonts w:ascii="Arial" w:hAnsi="Arial" w:cs="Arial"/>
                <w:sz w:val="18"/>
                <w:szCs w:val="18"/>
              </w:rPr>
              <w:br/>
            </w:r>
            <w:r w:rsidR="00C12CA9">
              <w:rPr>
                <w:rFonts w:ascii="Arial" w:hAnsi="Arial" w:cs="Arial"/>
                <w:sz w:val="18"/>
                <w:szCs w:val="18"/>
              </w:rPr>
              <w:br/>
              <w:t xml:space="preserve">OR </w:t>
            </w:r>
            <w:r w:rsidR="00C12CA9">
              <w:rPr>
                <w:rFonts w:ascii="Arial" w:hAnsi="Arial" w:cs="Arial"/>
                <w:sz w:val="18"/>
                <w:szCs w:val="18"/>
              </w:rPr>
              <w:br/>
            </w:r>
          </w:p>
          <w:p w14:paraId="08E8FB5F" w14:textId="7F2F9F1E" w:rsidR="00397D31" w:rsidRPr="00C12CA9" w:rsidRDefault="00C951E6" w:rsidP="00C12CA9">
            <w:pPr>
              <w:pStyle w:val="ListParagraph"/>
              <w:numPr>
                <w:ilvl w:val="0"/>
                <w:numId w:val="39"/>
              </w:numPr>
              <w:rPr>
                <w:rFonts w:ascii="Arial" w:hAnsi="Arial" w:cs="Arial"/>
                <w:sz w:val="18"/>
                <w:szCs w:val="18"/>
              </w:rPr>
            </w:pPr>
            <w:r w:rsidRPr="00C12CA9">
              <w:rPr>
                <w:rFonts w:ascii="Arial" w:hAnsi="Arial" w:cs="Arial"/>
                <w:sz w:val="18"/>
                <w:szCs w:val="18"/>
              </w:rPr>
              <w:t>Applicant fails to satisfy program requirements and TCPDC reserves the right to retain the Reservation Deposit and pursue any remedies available under the program agreements.</w:t>
            </w:r>
          </w:p>
        </w:tc>
        <w:tc>
          <w:tcPr>
            <w:tcW w:w="1683" w:type="dxa"/>
            <w:shd w:val="clear" w:color="auto" w:fill="F4EDF9"/>
            <w:vAlign w:val="center"/>
          </w:tcPr>
          <w:p w14:paraId="509F4F5B" w14:textId="31BB2369" w:rsidR="00397D31" w:rsidRPr="00E00FD4" w:rsidRDefault="00C951E6" w:rsidP="005F57FA">
            <w:pPr>
              <w:pStyle w:val="ListParagraph"/>
              <w:ind w:left="0"/>
              <w:rPr>
                <w:rFonts w:ascii="Arial" w:hAnsi="Arial" w:cs="Arial"/>
                <w:sz w:val="18"/>
                <w:szCs w:val="18"/>
              </w:rPr>
            </w:pPr>
            <w:r w:rsidRPr="00C951E6">
              <w:rPr>
                <w:rFonts w:ascii="Arial" w:hAnsi="Arial" w:cs="Arial"/>
                <w:sz w:val="18"/>
                <w:szCs w:val="18"/>
              </w:rPr>
              <w:t xml:space="preserve">Agreements executed within approximately </w:t>
            </w:r>
            <w:r w:rsidRPr="00A715F8">
              <w:rPr>
                <w:rFonts w:ascii="Arial" w:hAnsi="Arial" w:cs="Arial"/>
                <w:sz w:val="18"/>
                <w:szCs w:val="18"/>
              </w:rPr>
              <w:t>10 business days</w:t>
            </w:r>
            <w:r w:rsidRPr="00C951E6">
              <w:rPr>
                <w:rFonts w:ascii="Arial" w:hAnsi="Arial" w:cs="Arial"/>
                <w:sz w:val="18"/>
                <w:szCs w:val="18"/>
              </w:rPr>
              <w:t xml:space="preserve"> following contractor selection. Construction timeline varies by project scope.</w:t>
            </w:r>
          </w:p>
        </w:tc>
        <w:tc>
          <w:tcPr>
            <w:tcW w:w="1440" w:type="dxa"/>
            <w:shd w:val="clear" w:color="auto" w:fill="F4EDF9"/>
            <w:vAlign w:val="center"/>
          </w:tcPr>
          <w:p w14:paraId="6D0021C2" w14:textId="4771B884" w:rsidR="00397D31" w:rsidRPr="00E00FD4" w:rsidRDefault="00C951E6" w:rsidP="005F57FA">
            <w:pPr>
              <w:pStyle w:val="ListParagraph"/>
              <w:ind w:left="0"/>
              <w:rPr>
                <w:rFonts w:ascii="Arial" w:hAnsi="Arial" w:cs="Arial"/>
                <w:sz w:val="18"/>
                <w:szCs w:val="18"/>
              </w:rPr>
            </w:pPr>
            <w:r w:rsidRPr="00C951E6">
              <w:rPr>
                <w:rFonts w:ascii="Arial" w:hAnsi="Arial" w:cs="Arial"/>
                <w:sz w:val="18"/>
                <w:szCs w:val="18"/>
              </w:rPr>
              <w:t xml:space="preserve">Applicant provides any required owner contribution (if applicable). </w:t>
            </w:r>
            <w:r w:rsidRPr="00A715F8">
              <w:rPr>
                <w:rFonts w:ascii="Arial" w:hAnsi="Arial" w:cs="Arial"/>
                <w:sz w:val="18"/>
                <w:szCs w:val="18"/>
              </w:rPr>
              <w:t>$500 Reservation Deposit refunded upon successful project completion</w:t>
            </w:r>
            <w:r w:rsidRPr="00C951E6">
              <w:rPr>
                <w:rFonts w:ascii="Arial" w:hAnsi="Arial" w:cs="Arial"/>
                <w:b/>
                <w:bCs/>
                <w:sz w:val="18"/>
                <w:szCs w:val="18"/>
              </w:rPr>
              <w:t>.</w:t>
            </w:r>
          </w:p>
        </w:tc>
      </w:tr>
    </w:tbl>
    <w:p w14:paraId="410E6637" w14:textId="10D24363" w:rsidR="00A715F8" w:rsidRDefault="00A715F8">
      <w:pPr>
        <w:rPr>
          <w:rFonts w:ascii="Arial" w:hAnsi="Arial" w:cs="Arial"/>
          <w:color w:val="7030A0"/>
          <w:sz w:val="16"/>
          <w:szCs w:val="16"/>
        </w:rPr>
      </w:pPr>
      <w:r>
        <w:rPr>
          <w:rFonts w:ascii="Arial" w:hAnsi="Arial" w:cs="Arial"/>
          <w:b/>
          <w:bCs/>
          <w:color w:val="7030A0"/>
          <w:sz w:val="18"/>
          <w:szCs w:val="18"/>
        </w:rPr>
        <w:t xml:space="preserve">  </w:t>
      </w:r>
      <w:r>
        <w:rPr>
          <w:rFonts w:ascii="Arial" w:hAnsi="Arial" w:cs="Arial"/>
          <w:b/>
          <w:bCs/>
          <w:color w:val="7030A0"/>
          <w:sz w:val="18"/>
          <w:szCs w:val="18"/>
        </w:rPr>
        <w:br/>
        <w:t xml:space="preserve">** </w:t>
      </w:r>
      <w:r w:rsidRPr="00A715F8">
        <w:rPr>
          <w:rFonts w:ascii="Arial" w:hAnsi="Arial" w:cs="Arial"/>
          <w:b/>
          <w:bCs/>
          <w:color w:val="7030A0"/>
          <w:sz w:val="18"/>
          <w:szCs w:val="18"/>
        </w:rPr>
        <w:t xml:space="preserve">Following project completion, participating property owners are responsible for complying with all applicable program requirements, including affordability, </w:t>
      </w:r>
      <w:r>
        <w:rPr>
          <w:rFonts w:ascii="Arial" w:hAnsi="Arial" w:cs="Arial"/>
          <w:b/>
          <w:bCs/>
          <w:color w:val="7030A0"/>
          <w:sz w:val="18"/>
          <w:szCs w:val="18"/>
        </w:rPr>
        <w:t xml:space="preserve">  </w:t>
      </w:r>
      <w:r w:rsidRPr="00A715F8">
        <w:rPr>
          <w:rFonts w:ascii="Arial" w:hAnsi="Arial" w:cs="Arial"/>
          <w:b/>
          <w:bCs/>
          <w:color w:val="7030A0"/>
          <w:sz w:val="18"/>
          <w:szCs w:val="18"/>
        </w:rPr>
        <w:t>property maintenance, reporting, and monitoring requirements for the duration of the required regulatory period.</w:t>
      </w:r>
    </w:p>
    <w:p w14:paraId="71D5DD89" w14:textId="6074278B" w:rsidR="00AA19CD" w:rsidRPr="00A715F8" w:rsidRDefault="00A715F8">
      <w:pPr>
        <w:rPr>
          <w:rFonts w:ascii="Arial" w:hAnsi="Arial" w:cs="Arial"/>
          <w:color w:val="7030A0"/>
          <w:sz w:val="16"/>
          <w:szCs w:val="16"/>
        </w:rPr>
      </w:pPr>
      <w:r>
        <w:rPr>
          <w:rFonts w:ascii="Arial" w:hAnsi="Arial" w:cs="Arial"/>
          <w:color w:val="7030A0"/>
          <w:sz w:val="16"/>
          <w:szCs w:val="16"/>
        </w:rPr>
        <w:br/>
      </w:r>
      <w:r>
        <w:rPr>
          <w:rFonts w:ascii="Arial" w:hAnsi="Arial" w:cs="Arial"/>
          <w:color w:val="7030A0"/>
          <w:sz w:val="16"/>
          <w:szCs w:val="16"/>
        </w:rPr>
        <w:br/>
      </w:r>
      <w:r>
        <w:rPr>
          <w:rFonts w:ascii="Arial" w:hAnsi="Arial" w:cs="Arial"/>
          <w:color w:val="7030A0"/>
          <w:sz w:val="16"/>
          <w:szCs w:val="16"/>
        </w:rPr>
        <w:br/>
      </w:r>
      <w:r>
        <w:rPr>
          <w:rFonts w:ascii="Arial" w:hAnsi="Arial" w:cs="Arial"/>
          <w:color w:val="7030A0"/>
          <w:sz w:val="16"/>
          <w:szCs w:val="16"/>
        </w:rPr>
        <w:br/>
      </w:r>
      <w:r>
        <w:rPr>
          <w:rFonts w:ascii="Arial" w:hAnsi="Arial" w:cs="Arial"/>
          <w:color w:val="7030A0"/>
          <w:sz w:val="16"/>
          <w:szCs w:val="16"/>
        </w:rPr>
        <w:br/>
      </w:r>
      <w:r w:rsidRPr="00A715F8">
        <w:rPr>
          <w:rFonts w:ascii="Arial" w:hAnsi="Arial" w:cs="Arial"/>
          <w:color w:val="7030A0"/>
          <w:sz w:val="16"/>
          <w:szCs w:val="16"/>
        </w:rPr>
        <w:t>While this is the typical process for a VRP application, not all projects are the same, and based on the uniqueness of a project or special circumstances, the</w:t>
      </w:r>
      <w:r>
        <w:rPr>
          <w:rFonts w:ascii="Arial" w:hAnsi="Arial" w:cs="Arial"/>
          <w:color w:val="7030A0"/>
          <w:sz w:val="16"/>
          <w:szCs w:val="16"/>
        </w:rPr>
        <w:t xml:space="preserve"> </w:t>
      </w:r>
      <w:r w:rsidRPr="00A715F8">
        <w:rPr>
          <w:rFonts w:ascii="Arial" w:hAnsi="Arial" w:cs="Arial"/>
          <w:color w:val="7030A0"/>
          <w:sz w:val="16"/>
          <w:szCs w:val="16"/>
        </w:rPr>
        <w:t>process may vary slightly on a case-by-case basis.</w:t>
      </w:r>
      <w:r>
        <w:rPr>
          <w:rFonts w:ascii="Arial" w:hAnsi="Arial" w:cs="Arial"/>
          <w:color w:val="7030A0"/>
          <w:sz w:val="16"/>
          <w:szCs w:val="16"/>
        </w:rPr>
        <w:br/>
      </w:r>
    </w:p>
    <w:sectPr w:rsidR="00AA19CD" w:rsidRPr="00A715F8" w:rsidSect="00AD7D53">
      <w:footerReference w:type="default" r:id="rId7"/>
      <w:pgSz w:w="15840" w:h="12240" w:orient="landscape"/>
      <w:pgMar w:top="900" w:right="90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42AD3" w14:textId="77777777" w:rsidR="001308A9" w:rsidRDefault="001308A9" w:rsidP="00B80B2B">
      <w:pPr>
        <w:spacing w:after="0" w:line="240" w:lineRule="auto"/>
      </w:pPr>
      <w:r>
        <w:separator/>
      </w:r>
    </w:p>
  </w:endnote>
  <w:endnote w:type="continuationSeparator" w:id="0">
    <w:p w14:paraId="18F09863" w14:textId="77777777" w:rsidR="001308A9" w:rsidRDefault="001308A9" w:rsidP="00B80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580610"/>
      <w:docPartObj>
        <w:docPartGallery w:val="Page Numbers (Bottom of Page)"/>
        <w:docPartUnique/>
      </w:docPartObj>
    </w:sdtPr>
    <w:sdtEndPr>
      <w:rPr>
        <w:noProof/>
      </w:rPr>
    </w:sdtEndPr>
    <w:sdtContent>
      <w:p w14:paraId="6E7DA9A2" w14:textId="1E5E7DBA" w:rsidR="00B80B2B" w:rsidRDefault="00B80B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86C360" w14:textId="77777777" w:rsidR="00B80B2B" w:rsidRDefault="00B80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1C7A" w14:textId="77777777" w:rsidR="001308A9" w:rsidRDefault="001308A9" w:rsidP="00B80B2B">
      <w:pPr>
        <w:spacing w:after="0" w:line="240" w:lineRule="auto"/>
      </w:pPr>
      <w:r>
        <w:separator/>
      </w:r>
    </w:p>
  </w:footnote>
  <w:footnote w:type="continuationSeparator" w:id="0">
    <w:p w14:paraId="15C92218" w14:textId="77777777" w:rsidR="001308A9" w:rsidRDefault="001308A9" w:rsidP="00B80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689"/>
    <w:multiLevelType w:val="hybridMultilevel"/>
    <w:tmpl w:val="EADC99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81454"/>
    <w:multiLevelType w:val="hybridMultilevel"/>
    <w:tmpl w:val="1BC015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57245"/>
    <w:multiLevelType w:val="hybridMultilevel"/>
    <w:tmpl w:val="2F4A7E1C"/>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3" w15:restartNumberingAfterBreak="0">
    <w:nsid w:val="05DF744B"/>
    <w:multiLevelType w:val="hybridMultilevel"/>
    <w:tmpl w:val="4FC0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801BA"/>
    <w:multiLevelType w:val="hybridMultilevel"/>
    <w:tmpl w:val="5680EE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21A0F"/>
    <w:multiLevelType w:val="hybridMultilevel"/>
    <w:tmpl w:val="ED6625DC"/>
    <w:lvl w:ilvl="0" w:tplc="533EF16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B328D"/>
    <w:multiLevelType w:val="hybridMultilevel"/>
    <w:tmpl w:val="857EA9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B1D5B"/>
    <w:multiLevelType w:val="hybridMultilevel"/>
    <w:tmpl w:val="451EE9C6"/>
    <w:lvl w:ilvl="0" w:tplc="FCB08C2C">
      <w:start w:val="1"/>
      <w:numFmt w:val="decimal"/>
      <w:lvlText w:val="%1."/>
      <w:lvlJc w:val="left"/>
      <w:pPr>
        <w:ind w:left="720" w:hanging="360"/>
      </w:pPr>
      <w:rPr>
        <w:rFonts w:hint="default"/>
        <w:b/>
        <w:bCs/>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44024"/>
    <w:multiLevelType w:val="hybridMultilevel"/>
    <w:tmpl w:val="D55C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908FA"/>
    <w:multiLevelType w:val="hybridMultilevel"/>
    <w:tmpl w:val="32D4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7539E"/>
    <w:multiLevelType w:val="hybridMultilevel"/>
    <w:tmpl w:val="451EE9C6"/>
    <w:lvl w:ilvl="0" w:tplc="FFFFFFFF">
      <w:start w:val="1"/>
      <w:numFmt w:val="decimal"/>
      <w:lvlText w:val="%1."/>
      <w:lvlJc w:val="left"/>
      <w:pPr>
        <w:ind w:left="720" w:hanging="360"/>
      </w:pPr>
      <w:rPr>
        <w:rFonts w:hint="default"/>
        <w:b/>
        <w:bCs/>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C1748C"/>
    <w:multiLevelType w:val="hybridMultilevel"/>
    <w:tmpl w:val="1B40EA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B91017"/>
    <w:multiLevelType w:val="hybridMultilevel"/>
    <w:tmpl w:val="F96E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35775"/>
    <w:multiLevelType w:val="hybridMultilevel"/>
    <w:tmpl w:val="EE640598"/>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4" w15:restartNumberingAfterBreak="0">
    <w:nsid w:val="3A422A01"/>
    <w:multiLevelType w:val="hybridMultilevel"/>
    <w:tmpl w:val="2B0266C4"/>
    <w:lvl w:ilvl="0" w:tplc="01186FB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217BC"/>
    <w:multiLevelType w:val="hybridMultilevel"/>
    <w:tmpl w:val="9882600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A26151"/>
    <w:multiLevelType w:val="hybridMultilevel"/>
    <w:tmpl w:val="525E5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D606D"/>
    <w:multiLevelType w:val="hybridMultilevel"/>
    <w:tmpl w:val="1B08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420A4"/>
    <w:multiLevelType w:val="hybridMultilevel"/>
    <w:tmpl w:val="80E2EF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D66EE"/>
    <w:multiLevelType w:val="hybridMultilevel"/>
    <w:tmpl w:val="F05810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123F87"/>
    <w:multiLevelType w:val="hybridMultilevel"/>
    <w:tmpl w:val="CB82CE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F20D0"/>
    <w:multiLevelType w:val="hybridMultilevel"/>
    <w:tmpl w:val="3800BDD2"/>
    <w:lvl w:ilvl="0" w:tplc="33D000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37325"/>
    <w:multiLevelType w:val="hybridMultilevel"/>
    <w:tmpl w:val="2E861F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336B37"/>
    <w:multiLevelType w:val="hybridMultilevel"/>
    <w:tmpl w:val="5680E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C77A94"/>
    <w:multiLevelType w:val="hybridMultilevel"/>
    <w:tmpl w:val="84A2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36491"/>
    <w:multiLevelType w:val="hybridMultilevel"/>
    <w:tmpl w:val="D700BE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9E4306"/>
    <w:multiLevelType w:val="hybridMultilevel"/>
    <w:tmpl w:val="38C2E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87180"/>
    <w:multiLevelType w:val="hybridMultilevel"/>
    <w:tmpl w:val="0DDA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01E7B"/>
    <w:multiLevelType w:val="hybridMultilevel"/>
    <w:tmpl w:val="087C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056DF"/>
    <w:multiLevelType w:val="hybridMultilevel"/>
    <w:tmpl w:val="E1C4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7750EF"/>
    <w:multiLevelType w:val="hybridMultilevel"/>
    <w:tmpl w:val="4404D6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C4057"/>
    <w:multiLevelType w:val="hybridMultilevel"/>
    <w:tmpl w:val="FC980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15034E"/>
    <w:multiLevelType w:val="hybridMultilevel"/>
    <w:tmpl w:val="F490B7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C1F10"/>
    <w:multiLevelType w:val="hybridMultilevel"/>
    <w:tmpl w:val="42EA6D62"/>
    <w:lvl w:ilvl="0" w:tplc="EF0E93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195159"/>
    <w:multiLevelType w:val="hybridMultilevel"/>
    <w:tmpl w:val="30D4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C7E52"/>
    <w:multiLevelType w:val="hybridMultilevel"/>
    <w:tmpl w:val="D034E2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413F31"/>
    <w:multiLevelType w:val="hybridMultilevel"/>
    <w:tmpl w:val="E2DE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C65CE"/>
    <w:multiLevelType w:val="hybridMultilevel"/>
    <w:tmpl w:val="3DF8D63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B511D7"/>
    <w:multiLevelType w:val="hybridMultilevel"/>
    <w:tmpl w:val="24A2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79870">
    <w:abstractNumId w:val="5"/>
  </w:num>
  <w:num w:numId="2" w16cid:durableId="983392195">
    <w:abstractNumId w:val="14"/>
  </w:num>
  <w:num w:numId="3" w16cid:durableId="1598252101">
    <w:abstractNumId w:val="33"/>
  </w:num>
  <w:num w:numId="4" w16cid:durableId="707951923">
    <w:abstractNumId w:val="30"/>
  </w:num>
  <w:num w:numId="5" w16cid:durableId="324361647">
    <w:abstractNumId w:val="20"/>
  </w:num>
  <w:num w:numId="6" w16cid:durableId="1117334958">
    <w:abstractNumId w:val="7"/>
  </w:num>
  <w:num w:numId="7" w16cid:durableId="98374444">
    <w:abstractNumId w:val="11"/>
  </w:num>
  <w:num w:numId="8" w16cid:durableId="559874192">
    <w:abstractNumId w:val="19"/>
  </w:num>
  <w:num w:numId="9" w16cid:durableId="1555235317">
    <w:abstractNumId w:val="22"/>
  </w:num>
  <w:num w:numId="10" w16cid:durableId="1951817159">
    <w:abstractNumId w:val="35"/>
  </w:num>
  <w:num w:numId="11" w16cid:durableId="1054474848">
    <w:abstractNumId w:val="25"/>
  </w:num>
  <w:num w:numId="12" w16cid:durableId="810833141">
    <w:abstractNumId w:val="37"/>
  </w:num>
  <w:num w:numId="13" w16cid:durableId="1497499435">
    <w:abstractNumId w:val="15"/>
  </w:num>
  <w:num w:numId="14" w16cid:durableId="180438134">
    <w:abstractNumId w:val="10"/>
  </w:num>
  <w:num w:numId="15" w16cid:durableId="294482585">
    <w:abstractNumId w:val="4"/>
  </w:num>
  <w:num w:numId="16" w16cid:durableId="1863205774">
    <w:abstractNumId w:val="23"/>
  </w:num>
  <w:num w:numId="17" w16cid:durableId="2129278779">
    <w:abstractNumId w:val="1"/>
  </w:num>
  <w:num w:numId="18" w16cid:durableId="244536387">
    <w:abstractNumId w:val="31"/>
  </w:num>
  <w:num w:numId="19" w16cid:durableId="1481271148">
    <w:abstractNumId w:val="32"/>
  </w:num>
  <w:num w:numId="20" w16cid:durableId="544174174">
    <w:abstractNumId w:val="6"/>
  </w:num>
  <w:num w:numId="21" w16cid:durableId="1542866762">
    <w:abstractNumId w:val="21"/>
  </w:num>
  <w:num w:numId="22" w16cid:durableId="1539390767">
    <w:abstractNumId w:val="0"/>
  </w:num>
  <w:num w:numId="23" w16cid:durableId="685442162">
    <w:abstractNumId w:val="16"/>
  </w:num>
  <w:num w:numId="24" w16cid:durableId="330447173">
    <w:abstractNumId w:val="26"/>
  </w:num>
  <w:num w:numId="25" w16cid:durableId="361169530">
    <w:abstractNumId w:val="18"/>
  </w:num>
  <w:num w:numId="26" w16cid:durableId="1710180050">
    <w:abstractNumId w:val="13"/>
  </w:num>
  <w:num w:numId="27" w16cid:durableId="736631777">
    <w:abstractNumId w:val="12"/>
  </w:num>
  <w:num w:numId="28" w16cid:durableId="348989610">
    <w:abstractNumId w:val="24"/>
  </w:num>
  <w:num w:numId="29" w16cid:durableId="205146369">
    <w:abstractNumId w:val="38"/>
  </w:num>
  <w:num w:numId="30" w16cid:durableId="533083475">
    <w:abstractNumId w:val="29"/>
  </w:num>
  <w:num w:numId="31" w16cid:durableId="519130092">
    <w:abstractNumId w:val="27"/>
  </w:num>
  <w:num w:numId="32" w16cid:durableId="901335778">
    <w:abstractNumId w:val="36"/>
  </w:num>
  <w:num w:numId="33" w16cid:durableId="1375350390">
    <w:abstractNumId w:val="9"/>
  </w:num>
  <w:num w:numId="34" w16cid:durableId="1100418912">
    <w:abstractNumId w:val="2"/>
  </w:num>
  <w:num w:numId="35" w16cid:durableId="1208224039">
    <w:abstractNumId w:val="28"/>
  </w:num>
  <w:num w:numId="36" w16cid:durableId="405952894">
    <w:abstractNumId w:val="3"/>
  </w:num>
  <w:num w:numId="37" w16cid:durableId="993530236">
    <w:abstractNumId w:val="34"/>
  </w:num>
  <w:num w:numId="38" w16cid:durableId="484324820">
    <w:abstractNumId w:val="17"/>
  </w:num>
  <w:num w:numId="39" w16cid:durableId="1700862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1E"/>
    <w:rsid w:val="00000A8D"/>
    <w:rsid w:val="00000E70"/>
    <w:rsid w:val="000015A7"/>
    <w:rsid w:val="000040FE"/>
    <w:rsid w:val="0000472B"/>
    <w:rsid w:val="00007C78"/>
    <w:rsid w:val="000152AF"/>
    <w:rsid w:val="00021F66"/>
    <w:rsid w:val="00025057"/>
    <w:rsid w:val="00032CE5"/>
    <w:rsid w:val="00033D93"/>
    <w:rsid w:val="000431E6"/>
    <w:rsid w:val="00047C87"/>
    <w:rsid w:val="00056FF2"/>
    <w:rsid w:val="00066A22"/>
    <w:rsid w:val="00073E6E"/>
    <w:rsid w:val="00074D46"/>
    <w:rsid w:val="0008143E"/>
    <w:rsid w:val="000823B2"/>
    <w:rsid w:val="00082B1A"/>
    <w:rsid w:val="00094EED"/>
    <w:rsid w:val="00096423"/>
    <w:rsid w:val="00097230"/>
    <w:rsid w:val="000A56AA"/>
    <w:rsid w:val="000A577D"/>
    <w:rsid w:val="000B1EAB"/>
    <w:rsid w:val="000B4980"/>
    <w:rsid w:val="000B788C"/>
    <w:rsid w:val="000C5BA0"/>
    <w:rsid w:val="000C5E1F"/>
    <w:rsid w:val="000C7D09"/>
    <w:rsid w:val="000D5DE2"/>
    <w:rsid w:val="000D5ECB"/>
    <w:rsid w:val="000E146E"/>
    <w:rsid w:val="000E1622"/>
    <w:rsid w:val="000E17C5"/>
    <w:rsid w:val="000E3BE3"/>
    <w:rsid w:val="000F1D47"/>
    <w:rsid w:val="0010058C"/>
    <w:rsid w:val="00103DA8"/>
    <w:rsid w:val="00107097"/>
    <w:rsid w:val="001111A3"/>
    <w:rsid w:val="00117D9D"/>
    <w:rsid w:val="00121B07"/>
    <w:rsid w:val="00126EF8"/>
    <w:rsid w:val="001308A9"/>
    <w:rsid w:val="001325D9"/>
    <w:rsid w:val="00133E21"/>
    <w:rsid w:val="0014057A"/>
    <w:rsid w:val="00140B49"/>
    <w:rsid w:val="0014112E"/>
    <w:rsid w:val="00141FB3"/>
    <w:rsid w:val="001460F2"/>
    <w:rsid w:val="00147F08"/>
    <w:rsid w:val="001656A9"/>
    <w:rsid w:val="00165F74"/>
    <w:rsid w:val="0016715F"/>
    <w:rsid w:val="001716D7"/>
    <w:rsid w:val="0017199E"/>
    <w:rsid w:val="00184908"/>
    <w:rsid w:val="00190B2F"/>
    <w:rsid w:val="00193BC9"/>
    <w:rsid w:val="001973A4"/>
    <w:rsid w:val="0019771F"/>
    <w:rsid w:val="001A02AA"/>
    <w:rsid w:val="001B0B2A"/>
    <w:rsid w:val="001D3DDE"/>
    <w:rsid w:val="001E006F"/>
    <w:rsid w:val="001E5030"/>
    <w:rsid w:val="001E6BD1"/>
    <w:rsid w:val="001F25FF"/>
    <w:rsid w:val="001F2888"/>
    <w:rsid w:val="001F40BD"/>
    <w:rsid w:val="001F6ED3"/>
    <w:rsid w:val="00203E26"/>
    <w:rsid w:val="00217D2B"/>
    <w:rsid w:val="00220452"/>
    <w:rsid w:val="0022113D"/>
    <w:rsid w:val="0022330F"/>
    <w:rsid w:val="002245DF"/>
    <w:rsid w:val="00232AEE"/>
    <w:rsid w:val="002360E5"/>
    <w:rsid w:val="00240E1A"/>
    <w:rsid w:val="00250F32"/>
    <w:rsid w:val="0025231C"/>
    <w:rsid w:val="002531DA"/>
    <w:rsid w:val="002532A0"/>
    <w:rsid w:val="00253314"/>
    <w:rsid w:val="002544A9"/>
    <w:rsid w:val="00255F73"/>
    <w:rsid w:val="002570F7"/>
    <w:rsid w:val="00257BF9"/>
    <w:rsid w:val="002660F4"/>
    <w:rsid w:val="00281976"/>
    <w:rsid w:val="00281E87"/>
    <w:rsid w:val="00282B22"/>
    <w:rsid w:val="00283465"/>
    <w:rsid w:val="00283D58"/>
    <w:rsid w:val="0029593D"/>
    <w:rsid w:val="00297FCA"/>
    <w:rsid w:val="002A675C"/>
    <w:rsid w:val="002B1606"/>
    <w:rsid w:val="002B48CA"/>
    <w:rsid w:val="002B6FE6"/>
    <w:rsid w:val="002C2EC0"/>
    <w:rsid w:val="002C4EC8"/>
    <w:rsid w:val="002D4C8A"/>
    <w:rsid w:val="002D4D62"/>
    <w:rsid w:val="002D7273"/>
    <w:rsid w:val="002D7ED3"/>
    <w:rsid w:val="002E199F"/>
    <w:rsid w:val="002E1FAF"/>
    <w:rsid w:val="002E5194"/>
    <w:rsid w:val="002E5727"/>
    <w:rsid w:val="002E67C3"/>
    <w:rsid w:val="002E77B4"/>
    <w:rsid w:val="002F03C4"/>
    <w:rsid w:val="002F09C5"/>
    <w:rsid w:val="002F291C"/>
    <w:rsid w:val="002F3985"/>
    <w:rsid w:val="00302EA7"/>
    <w:rsid w:val="00306791"/>
    <w:rsid w:val="00310B1E"/>
    <w:rsid w:val="0031122D"/>
    <w:rsid w:val="003141BF"/>
    <w:rsid w:val="003163CE"/>
    <w:rsid w:val="00320C50"/>
    <w:rsid w:val="00321592"/>
    <w:rsid w:val="00322D4F"/>
    <w:rsid w:val="00325ADF"/>
    <w:rsid w:val="00331BDD"/>
    <w:rsid w:val="00334501"/>
    <w:rsid w:val="0034567C"/>
    <w:rsid w:val="003508FA"/>
    <w:rsid w:val="0035651C"/>
    <w:rsid w:val="00356D30"/>
    <w:rsid w:val="00357F04"/>
    <w:rsid w:val="00361512"/>
    <w:rsid w:val="00364510"/>
    <w:rsid w:val="00364FD8"/>
    <w:rsid w:val="0036565C"/>
    <w:rsid w:val="00370EA6"/>
    <w:rsid w:val="00373DCB"/>
    <w:rsid w:val="00374EBC"/>
    <w:rsid w:val="003773C2"/>
    <w:rsid w:val="00377ABA"/>
    <w:rsid w:val="00377EC9"/>
    <w:rsid w:val="0038083F"/>
    <w:rsid w:val="00383D19"/>
    <w:rsid w:val="00384587"/>
    <w:rsid w:val="00387AE1"/>
    <w:rsid w:val="00397D31"/>
    <w:rsid w:val="003A53EF"/>
    <w:rsid w:val="003B5B0A"/>
    <w:rsid w:val="003C0731"/>
    <w:rsid w:val="003C3395"/>
    <w:rsid w:val="003D1125"/>
    <w:rsid w:val="003D3340"/>
    <w:rsid w:val="003D7A17"/>
    <w:rsid w:val="003E16AB"/>
    <w:rsid w:val="003E290B"/>
    <w:rsid w:val="003E794E"/>
    <w:rsid w:val="00400193"/>
    <w:rsid w:val="00410620"/>
    <w:rsid w:val="00414C41"/>
    <w:rsid w:val="00415919"/>
    <w:rsid w:val="00416B0E"/>
    <w:rsid w:val="00424AE3"/>
    <w:rsid w:val="00427DBB"/>
    <w:rsid w:val="00434C69"/>
    <w:rsid w:val="00437360"/>
    <w:rsid w:val="00437361"/>
    <w:rsid w:val="00443043"/>
    <w:rsid w:val="00444BC3"/>
    <w:rsid w:val="00447685"/>
    <w:rsid w:val="0045001C"/>
    <w:rsid w:val="004531E3"/>
    <w:rsid w:val="00454F70"/>
    <w:rsid w:val="004552C5"/>
    <w:rsid w:val="00455DDB"/>
    <w:rsid w:val="00475F3A"/>
    <w:rsid w:val="00477372"/>
    <w:rsid w:val="00477A1C"/>
    <w:rsid w:val="004838E4"/>
    <w:rsid w:val="00483CEF"/>
    <w:rsid w:val="00485E9F"/>
    <w:rsid w:val="004930C0"/>
    <w:rsid w:val="004952B3"/>
    <w:rsid w:val="00497633"/>
    <w:rsid w:val="004A17D0"/>
    <w:rsid w:val="004A61B0"/>
    <w:rsid w:val="004A7AD0"/>
    <w:rsid w:val="004B2055"/>
    <w:rsid w:val="004B221D"/>
    <w:rsid w:val="004C2995"/>
    <w:rsid w:val="004C774F"/>
    <w:rsid w:val="004D26F0"/>
    <w:rsid w:val="004D76B7"/>
    <w:rsid w:val="004E3924"/>
    <w:rsid w:val="004E7363"/>
    <w:rsid w:val="004F408A"/>
    <w:rsid w:val="004F5C0B"/>
    <w:rsid w:val="004F66D1"/>
    <w:rsid w:val="005056F1"/>
    <w:rsid w:val="00505A07"/>
    <w:rsid w:val="00505C4D"/>
    <w:rsid w:val="00505D2F"/>
    <w:rsid w:val="00506A30"/>
    <w:rsid w:val="005106F2"/>
    <w:rsid w:val="00510B92"/>
    <w:rsid w:val="0051575E"/>
    <w:rsid w:val="00520926"/>
    <w:rsid w:val="00521CBD"/>
    <w:rsid w:val="005225C8"/>
    <w:rsid w:val="005251E9"/>
    <w:rsid w:val="00525F58"/>
    <w:rsid w:val="00526AC7"/>
    <w:rsid w:val="005410C3"/>
    <w:rsid w:val="005444D4"/>
    <w:rsid w:val="00544661"/>
    <w:rsid w:val="005517CC"/>
    <w:rsid w:val="00555C0E"/>
    <w:rsid w:val="0056015E"/>
    <w:rsid w:val="005630A0"/>
    <w:rsid w:val="00564881"/>
    <w:rsid w:val="00570582"/>
    <w:rsid w:val="0057127A"/>
    <w:rsid w:val="0058059E"/>
    <w:rsid w:val="00581C64"/>
    <w:rsid w:val="00584FDF"/>
    <w:rsid w:val="00585D1F"/>
    <w:rsid w:val="0058769C"/>
    <w:rsid w:val="00587701"/>
    <w:rsid w:val="005900BE"/>
    <w:rsid w:val="00592F15"/>
    <w:rsid w:val="00594361"/>
    <w:rsid w:val="00596B0B"/>
    <w:rsid w:val="005A2563"/>
    <w:rsid w:val="005A2F51"/>
    <w:rsid w:val="005A308E"/>
    <w:rsid w:val="005B4071"/>
    <w:rsid w:val="005B6281"/>
    <w:rsid w:val="005B670C"/>
    <w:rsid w:val="005B67E7"/>
    <w:rsid w:val="005C0944"/>
    <w:rsid w:val="005D3F35"/>
    <w:rsid w:val="005E0CB7"/>
    <w:rsid w:val="005E4FD2"/>
    <w:rsid w:val="005F37D8"/>
    <w:rsid w:val="005F57FA"/>
    <w:rsid w:val="005F6FEA"/>
    <w:rsid w:val="006026AA"/>
    <w:rsid w:val="0060611D"/>
    <w:rsid w:val="00611957"/>
    <w:rsid w:val="00614B6E"/>
    <w:rsid w:val="00614F0C"/>
    <w:rsid w:val="00616165"/>
    <w:rsid w:val="00616225"/>
    <w:rsid w:val="0062209A"/>
    <w:rsid w:val="0062543A"/>
    <w:rsid w:val="0063118C"/>
    <w:rsid w:val="0063516D"/>
    <w:rsid w:val="00635762"/>
    <w:rsid w:val="00635B67"/>
    <w:rsid w:val="00642616"/>
    <w:rsid w:val="00647D80"/>
    <w:rsid w:val="00650D51"/>
    <w:rsid w:val="00654374"/>
    <w:rsid w:val="0066140F"/>
    <w:rsid w:val="00661739"/>
    <w:rsid w:val="00662B39"/>
    <w:rsid w:val="0066626D"/>
    <w:rsid w:val="006777EF"/>
    <w:rsid w:val="006802C5"/>
    <w:rsid w:val="00682052"/>
    <w:rsid w:val="0068639B"/>
    <w:rsid w:val="00687B00"/>
    <w:rsid w:val="00690E7D"/>
    <w:rsid w:val="006A1A23"/>
    <w:rsid w:val="006A3C6E"/>
    <w:rsid w:val="006B26BC"/>
    <w:rsid w:val="006C1839"/>
    <w:rsid w:val="006C30DD"/>
    <w:rsid w:val="006C32B0"/>
    <w:rsid w:val="006C49FD"/>
    <w:rsid w:val="006C7EC6"/>
    <w:rsid w:val="006D0B6A"/>
    <w:rsid w:val="006D61F0"/>
    <w:rsid w:val="006D6498"/>
    <w:rsid w:val="006D7175"/>
    <w:rsid w:val="006D7D9D"/>
    <w:rsid w:val="006E022E"/>
    <w:rsid w:val="006E3869"/>
    <w:rsid w:val="006E4C38"/>
    <w:rsid w:val="006E6A58"/>
    <w:rsid w:val="006F1223"/>
    <w:rsid w:val="006F2A58"/>
    <w:rsid w:val="006F2E63"/>
    <w:rsid w:val="006F549B"/>
    <w:rsid w:val="006F57E0"/>
    <w:rsid w:val="00700686"/>
    <w:rsid w:val="00702A3D"/>
    <w:rsid w:val="007043B5"/>
    <w:rsid w:val="00705CAC"/>
    <w:rsid w:val="00706044"/>
    <w:rsid w:val="00706494"/>
    <w:rsid w:val="00706E2B"/>
    <w:rsid w:val="0071085A"/>
    <w:rsid w:val="00711917"/>
    <w:rsid w:val="00713669"/>
    <w:rsid w:val="007203AA"/>
    <w:rsid w:val="007212FA"/>
    <w:rsid w:val="0072353E"/>
    <w:rsid w:val="007249A2"/>
    <w:rsid w:val="0072742D"/>
    <w:rsid w:val="0073010D"/>
    <w:rsid w:val="007343B4"/>
    <w:rsid w:val="00735591"/>
    <w:rsid w:val="00737408"/>
    <w:rsid w:val="0074253F"/>
    <w:rsid w:val="00744966"/>
    <w:rsid w:val="007449DE"/>
    <w:rsid w:val="007542BA"/>
    <w:rsid w:val="007556B0"/>
    <w:rsid w:val="007607A1"/>
    <w:rsid w:val="007621F4"/>
    <w:rsid w:val="00763E4C"/>
    <w:rsid w:val="0077595E"/>
    <w:rsid w:val="00781331"/>
    <w:rsid w:val="007926C0"/>
    <w:rsid w:val="00795A74"/>
    <w:rsid w:val="007A0E1D"/>
    <w:rsid w:val="007A29D4"/>
    <w:rsid w:val="007A3C21"/>
    <w:rsid w:val="007A4C57"/>
    <w:rsid w:val="007B3539"/>
    <w:rsid w:val="007B5796"/>
    <w:rsid w:val="007C5CE9"/>
    <w:rsid w:val="007D4F74"/>
    <w:rsid w:val="007E1842"/>
    <w:rsid w:val="007E1DDF"/>
    <w:rsid w:val="007F16E2"/>
    <w:rsid w:val="007F226D"/>
    <w:rsid w:val="007F2673"/>
    <w:rsid w:val="007F31EE"/>
    <w:rsid w:val="00800238"/>
    <w:rsid w:val="008042EC"/>
    <w:rsid w:val="00813ED1"/>
    <w:rsid w:val="0081530D"/>
    <w:rsid w:val="00815D27"/>
    <w:rsid w:val="00820C2E"/>
    <w:rsid w:val="00822117"/>
    <w:rsid w:val="008412D4"/>
    <w:rsid w:val="0084273C"/>
    <w:rsid w:val="008431B2"/>
    <w:rsid w:val="008443B8"/>
    <w:rsid w:val="00852D8E"/>
    <w:rsid w:val="00857B40"/>
    <w:rsid w:val="00866F2F"/>
    <w:rsid w:val="00883A8A"/>
    <w:rsid w:val="00894146"/>
    <w:rsid w:val="0089773C"/>
    <w:rsid w:val="008A012E"/>
    <w:rsid w:val="008A0E86"/>
    <w:rsid w:val="008B05DB"/>
    <w:rsid w:val="008B3CD7"/>
    <w:rsid w:val="008B707F"/>
    <w:rsid w:val="008C1D3A"/>
    <w:rsid w:val="008C23CD"/>
    <w:rsid w:val="008D1B5C"/>
    <w:rsid w:val="008D1C96"/>
    <w:rsid w:val="008D7374"/>
    <w:rsid w:val="008D7F9F"/>
    <w:rsid w:val="008E33F0"/>
    <w:rsid w:val="008F0681"/>
    <w:rsid w:val="008F55CB"/>
    <w:rsid w:val="00917293"/>
    <w:rsid w:val="00920D2C"/>
    <w:rsid w:val="00921297"/>
    <w:rsid w:val="00925E8A"/>
    <w:rsid w:val="0093289F"/>
    <w:rsid w:val="00932A94"/>
    <w:rsid w:val="00933B02"/>
    <w:rsid w:val="00940F75"/>
    <w:rsid w:val="00945C56"/>
    <w:rsid w:val="0094759D"/>
    <w:rsid w:val="009510AE"/>
    <w:rsid w:val="009529A9"/>
    <w:rsid w:val="00956D14"/>
    <w:rsid w:val="00957195"/>
    <w:rsid w:val="00961034"/>
    <w:rsid w:val="00973DB7"/>
    <w:rsid w:val="00975E08"/>
    <w:rsid w:val="009768AF"/>
    <w:rsid w:val="00981E98"/>
    <w:rsid w:val="009858ED"/>
    <w:rsid w:val="00990516"/>
    <w:rsid w:val="00990F58"/>
    <w:rsid w:val="00997C27"/>
    <w:rsid w:val="009A3C1E"/>
    <w:rsid w:val="009B6203"/>
    <w:rsid w:val="009C5E5F"/>
    <w:rsid w:val="009C6979"/>
    <w:rsid w:val="009D0B6A"/>
    <w:rsid w:val="009D1A27"/>
    <w:rsid w:val="009D52BA"/>
    <w:rsid w:val="009E3C90"/>
    <w:rsid w:val="009E6D1E"/>
    <w:rsid w:val="009F355C"/>
    <w:rsid w:val="009F5726"/>
    <w:rsid w:val="009F5C79"/>
    <w:rsid w:val="009F7D42"/>
    <w:rsid w:val="00A02667"/>
    <w:rsid w:val="00A03FFD"/>
    <w:rsid w:val="00A06E58"/>
    <w:rsid w:val="00A14AC5"/>
    <w:rsid w:val="00A21401"/>
    <w:rsid w:val="00A23D41"/>
    <w:rsid w:val="00A2723B"/>
    <w:rsid w:val="00A40049"/>
    <w:rsid w:val="00A41ED5"/>
    <w:rsid w:val="00A45D93"/>
    <w:rsid w:val="00A46197"/>
    <w:rsid w:val="00A46A2D"/>
    <w:rsid w:val="00A618A4"/>
    <w:rsid w:val="00A627AC"/>
    <w:rsid w:val="00A67F4A"/>
    <w:rsid w:val="00A712DD"/>
    <w:rsid w:val="00A715F8"/>
    <w:rsid w:val="00A727D0"/>
    <w:rsid w:val="00A858E4"/>
    <w:rsid w:val="00A91BD4"/>
    <w:rsid w:val="00A974A8"/>
    <w:rsid w:val="00AA016F"/>
    <w:rsid w:val="00AA08CC"/>
    <w:rsid w:val="00AA107C"/>
    <w:rsid w:val="00AA19CD"/>
    <w:rsid w:val="00AA2CE7"/>
    <w:rsid w:val="00AA603E"/>
    <w:rsid w:val="00AB4B61"/>
    <w:rsid w:val="00AB629B"/>
    <w:rsid w:val="00AB681C"/>
    <w:rsid w:val="00AC65F5"/>
    <w:rsid w:val="00AD21B0"/>
    <w:rsid w:val="00AD27CB"/>
    <w:rsid w:val="00AD3A48"/>
    <w:rsid w:val="00AD4CC4"/>
    <w:rsid w:val="00AD75E7"/>
    <w:rsid w:val="00AD767A"/>
    <w:rsid w:val="00AD7BE3"/>
    <w:rsid w:val="00AD7D53"/>
    <w:rsid w:val="00AE3C3B"/>
    <w:rsid w:val="00AE41A6"/>
    <w:rsid w:val="00AE616A"/>
    <w:rsid w:val="00AF06A6"/>
    <w:rsid w:val="00AF1AA9"/>
    <w:rsid w:val="00B05B86"/>
    <w:rsid w:val="00B10F75"/>
    <w:rsid w:val="00B10FC6"/>
    <w:rsid w:val="00B255C4"/>
    <w:rsid w:val="00B25E7A"/>
    <w:rsid w:val="00B30316"/>
    <w:rsid w:val="00B379DA"/>
    <w:rsid w:val="00B412F3"/>
    <w:rsid w:val="00B45642"/>
    <w:rsid w:val="00B53213"/>
    <w:rsid w:val="00B5383C"/>
    <w:rsid w:val="00B60C26"/>
    <w:rsid w:val="00B61CEC"/>
    <w:rsid w:val="00B677E9"/>
    <w:rsid w:val="00B67A93"/>
    <w:rsid w:val="00B70408"/>
    <w:rsid w:val="00B72155"/>
    <w:rsid w:val="00B737B8"/>
    <w:rsid w:val="00B75655"/>
    <w:rsid w:val="00B757AA"/>
    <w:rsid w:val="00B771AB"/>
    <w:rsid w:val="00B80B2B"/>
    <w:rsid w:val="00B812BF"/>
    <w:rsid w:val="00B83B27"/>
    <w:rsid w:val="00B84FBC"/>
    <w:rsid w:val="00B8597F"/>
    <w:rsid w:val="00B86168"/>
    <w:rsid w:val="00B90B15"/>
    <w:rsid w:val="00B96CB6"/>
    <w:rsid w:val="00BB0FED"/>
    <w:rsid w:val="00BB351A"/>
    <w:rsid w:val="00BC0F5F"/>
    <w:rsid w:val="00BC3AE8"/>
    <w:rsid w:val="00BC46A9"/>
    <w:rsid w:val="00BC79AA"/>
    <w:rsid w:val="00BD0DA2"/>
    <w:rsid w:val="00BD2F2D"/>
    <w:rsid w:val="00BD4504"/>
    <w:rsid w:val="00BD5617"/>
    <w:rsid w:val="00BD5ED0"/>
    <w:rsid w:val="00BD7168"/>
    <w:rsid w:val="00BD739F"/>
    <w:rsid w:val="00BE1210"/>
    <w:rsid w:val="00BE7F17"/>
    <w:rsid w:val="00BF4656"/>
    <w:rsid w:val="00BF6995"/>
    <w:rsid w:val="00BF7D9B"/>
    <w:rsid w:val="00C00D5F"/>
    <w:rsid w:val="00C03B65"/>
    <w:rsid w:val="00C05733"/>
    <w:rsid w:val="00C0610D"/>
    <w:rsid w:val="00C12CA9"/>
    <w:rsid w:val="00C15293"/>
    <w:rsid w:val="00C162CC"/>
    <w:rsid w:val="00C20B35"/>
    <w:rsid w:val="00C2241F"/>
    <w:rsid w:val="00C22B41"/>
    <w:rsid w:val="00C231FE"/>
    <w:rsid w:val="00C232E1"/>
    <w:rsid w:val="00C3084B"/>
    <w:rsid w:val="00C30DD0"/>
    <w:rsid w:val="00C30FC3"/>
    <w:rsid w:val="00C33BC4"/>
    <w:rsid w:val="00C357DC"/>
    <w:rsid w:val="00C3708D"/>
    <w:rsid w:val="00C5181A"/>
    <w:rsid w:val="00C545A0"/>
    <w:rsid w:val="00C63508"/>
    <w:rsid w:val="00C6553A"/>
    <w:rsid w:val="00C710A9"/>
    <w:rsid w:val="00C71726"/>
    <w:rsid w:val="00C73A7E"/>
    <w:rsid w:val="00C73DE0"/>
    <w:rsid w:val="00C746C3"/>
    <w:rsid w:val="00C7777E"/>
    <w:rsid w:val="00C80A51"/>
    <w:rsid w:val="00C839D3"/>
    <w:rsid w:val="00C84570"/>
    <w:rsid w:val="00C92FEB"/>
    <w:rsid w:val="00C946A4"/>
    <w:rsid w:val="00C94811"/>
    <w:rsid w:val="00C951E6"/>
    <w:rsid w:val="00CA04A7"/>
    <w:rsid w:val="00CA1A2D"/>
    <w:rsid w:val="00CA1D66"/>
    <w:rsid w:val="00CA1E5E"/>
    <w:rsid w:val="00CA6809"/>
    <w:rsid w:val="00CB102A"/>
    <w:rsid w:val="00CB13A7"/>
    <w:rsid w:val="00CB1610"/>
    <w:rsid w:val="00CB5DC0"/>
    <w:rsid w:val="00CC38F4"/>
    <w:rsid w:val="00CC3EA9"/>
    <w:rsid w:val="00CD4209"/>
    <w:rsid w:val="00CD4491"/>
    <w:rsid w:val="00CD7AB7"/>
    <w:rsid w:val="00CE33C2"/>
    <w:rsid w:val="00CE3671"/>
    <w:rsid w:val="00CE6E67"/>
    <w:rsid w:val="00CE7443"/>
    <w:rsid w:val="00CF07EE"/>
    <w:rsid w:val="00CF19D4"/>
    <w:rsid w:val="00CF5C1E"/>
    <w:rsid w:val="00D01638"/>
    <w:rsid w:val="00D01B94"/>
    <w:rsid w:val="00D03A70"/>
    <w:rsid w:val="00D117F8"/>
    <w:rsid w:val="00D12568"/>
    <w:rsid w:val="00D15284"/>
    <w:rsid w:val="00D157EE"/>
    <w:rsid w:val="00D2016C"/>
    <w:rsid w:val="00D2180A"/>
    <w:rsid w:val="00D24360"/>
    <w:rsid w:val="00D329B0"/>
    <w:rsid w:val="00D34605"/>
    <w:rsid w:val="00D354E9"/>
    <w:rsid w:val="00D35C77"/>
    <w:rsid w:val="00D372E0"/>
    <w:rsid w:val="00D40653"/>
    <w:rsid w:val="00D548DB"/>
    <w:rsid w:val="00D55A1C"/>
    <w:rsid w:val="00D63CD4"/>
    <w:rsid w:val="00D64DBB"/>
    <w:rsid w:val="00D64ED9"/>
    <w:rsid w:val="00D672BA"/>
    <w:rsid w:val="00D739A5"/>
    <w:rsid w:val="00D7500B"/>
    <w:rsid w:val="00D82501"/>
    <w:rsid w:val="00D91115"/>
    <w:rsid w:val="00D92E99"/>
    <w:rsid w:val="00D97BAC"/>
    <w:rsid w:val="00DA210A"/>
    <w:rsid w:val="00DA6022"/>
    <w:rsid w:val="00DA6B6E"/>
    <w:rsid w:val="00DB0593"/>
    <w:rsid w:val="00DB2FEC"/>
    <w:rsid w:val="00DC675F"/>
    <w:rsid w:val="00DC6F85"/>
    <w:rsid w:val="00DD190F"/>
    <w:rsid w:val="00DD37E4"/>
    <w:rsid w:val="00DD4010"/>
    <w:rsid w:val="00DD46CB"/>
    <w:rsid w:val="00DE3B13"/>
    <w:rsid w:val="00DE4E23"/>
    <w:rsid w:val="00DE6557"/>
    <w:rsid w:val="00DE79DD"/>
    <w:rsid w:val="00DF0A44"/>
    <w:rsid w:val="00DF574A"/>
    <w:rsid w:val="00E00FD4"/>
    <w:rsid w:val="00E12F1B"/>
    <w:rsid w:val="00E13066"/>
    <w:rsid w:val="00E13E15"/>
    <w:rsid w:val="00E16441"/>
    <w:rsid w:val="00E17B13"/>
    <w:rsid w:val="00E22832"/>
    <w:rsid w:val="00E24383"/>
    <w:rsid w:val="00E24578"/>
    <w:rsid w:val="00E27714"/>
    <w:rsid w:val="00E27D02"/>
    <w:rsid w:val="00E361F4"/>
    <w:rsid w:val="00E51AB3"/>
    <w:rsid w:val="00E60B94"/>
    <w:rsid w:val="00E61B63"/>
    <w:rsid w:val="00E713CB"/>
    <w:rsid w:val="00E76B60"/>
    <w:rsid w:val="00E81AA5"/>
    <w:rsid w:val="00E8557D"/>
    <w:rsid w:val="00E96742"/>
    <w:rsid w:val="00E97AEC"/>
    <w:rsid w:val="00EA723D"/>
    <w:rsid w:val="00EB6AB3"/>
    <w:rsid w:val="00EB6B1B"/>
    <w:rsid w:val="00EC4B5A"/>
    <w:rsid w:val="00EC6FB1"/>
    <w:rsid w:val="00ED2F16"/>
    <w:rsid w:val="00ED3291"/>
    <w:rsid w:val="00ED4319"/>
    <w:rsid w:val="00ED6CF6"/>
    <w:rsid w:val="00ED7CBC"/>
    <w:rsid w:val="00EE074D"/>
    <w:rsid w:val="00EE64C3"/>
    <w:rsid w:val="00EF063F"/>
    <w:rsid w:val="00EF5D5D"/>
    <w:rsid w:val="00F0429C"/>
    <w:rsid w:val="00F0485A"/>
    <w:rsid w:val="00F05CBF"/>
    <w:rsid w:val="00F06D92"/>
    <w:rsid w:val="00F106DC"/>
    <w:rsid w:val="00F131AC"/>
    <w:rsid w:val="00F1367E"/>
    <w:rsid w:val="00F16850"/>
    <w:rsid w:val="00F16CA3"/>
    <w:rsid w:val="00F176AF"/>
    <w:rsid w:val="00F2050C"/>
    <w:rsid w:val="00F22F59"/>
    <w:rsid w:val="00F24163"/>
    <w:rsid w:val="00F25306"/>
    <w:rsid w:val="00F315EF"/>
    <w:rsid w:val="00F367CD"/>
    <w:rsid w:val="00F44174"/>
    <w:rsid w:val="00F54F52"/>
    <w:rsid w:val="00F603E5"/>
    <w:rsid w:val="00F62A31"/>
    <w:rsid w:val="00F64561"/>
    <w:rsid w:val="00F72D5D"/>
    <w:rsid w:val="00F8499C"/>
    <w:rsid w:val="00F85815"/>
    <w:rsid w:val="00FA0674"/>
    <w:rsid w:val="00FA4680"/>
    <w:rsid w:val="00FA4B51"/>
    <w:rsid w:val="00FB20A8"/>
    <w:rsid w:val="00FC0431"/>
    <w:rsid w:val="00FC40F9"/>
    <w:rsid w:val="00FD09DE"/>
    <w:rsid w:val="00FE1A4B"/>
    <w:rsid w:val="00FE40EE"/>
    <w:rsid w:val="00FF1291"/>
    <w:rsid w:val="00FF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520F"/>
  <w15:chartTrackingRefBased/>
  <w15:docId w15:val="{F310AAA1-6283-4755-ADAC-9EFC12D9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C1E"/>
    <w:rPr>
      <w:rFonts w:eastAsiaTheme="majorEastAsia" w:cstheme="majorBidi"/>
      <w:color w:val="272727" w:themeColor="text1" w:themeTint="D8"/>
    </w:rPr>
  </w:style>
  <w:style w:type="paragraph" w:styleId="Title">
    <w:name w:val="Title"/>
    <w:basedOn w:val="Normal"/>
    <w:next w:val="Normal"/>
    <w:link w:val="TitleChar"/>
    <w:uiPriority w:val="10"/>
    <w:qFormat/>
    <w:rsid w:val="009A3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C1E"/>
    <w:pPr>
      <w:spacing w:before="160"/>
      <w:jc w:val="center"/>
    </w:pPr>
    <w:rPr>
      <w:i/>
      <w:iCs/>
      <w:color w:val="404040" w:themeColor="text1" w:themeTint="BF"/>
    </w:rPr>
  </w:style>
  <w:style w:type="character" w:customStyle="1" w:styleId="QuoteChar">
    <w:name w:val="Quote Char"/>
    <w:basedOn w:val="DefaultParagraphFont"/>
    <w:link w:val="Quote"/>
    <w:uiPriority w:val="29"/>
    <w:rsid w:val="009A3C1E"/>
    <w:rPr>
      <w:i/>
      <w:iCs/>
      <w:color w:val="404040" w:themeColor="text1" w:themeTint="BF"/>
    </w:rPr>
  </w:style>
  <w:style w:type="paragraph" w:styleId="ListParagraph">
    <w:name w:val="List Paragraph"/>
    <w:basedOn w:val="Normal"/>
    <w:uiPriority w:val="34"/>
    <w:qFormat/>
    <w:rsid w:val="009A3C1E"/>
    <w:pPr>
      <w:ind w:left="720"/>
      <w:contextualSpacing/>
    </w:pPr>
  </w:style>
  <w:style w:type="character" w:styleId="IntenseEmphasis">
    <w:name w:val="Intense Emphasis"/>
    <w:basedOn w:val="DefaultParagraphFont"/>
    <w:uiPriority w:val="21"/>
    <w:qFormat/>
    <w:rsid w:val="009A3C1E"/>
    <w:rPr>
      <w:i/>
      <w:iCs/>
      <w:color w:val="0F4761" w:themeColor="accent1" w:themeShade="BF"/>
    </w:rPr>
  </w:style>
  <w:style w:type="paragraph" w:styleId="IntenseQuote">
    <w:name w:val="Intense Quote"/>
    <w:basedOn w:val="Normal"/>
    <w:next w:val="Normal"/>
    <w:link w:val="IntenseQuoteChar"/>
    <w:uiPriority w:val="30"/>
    <w:qFormat/>
    <w:rsid w:val="009A3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C1E"/>
    <w:rPr>
      <w:i/>
      <w:iCs/>
      <w:color w:val="0F4761" w:themeColor="accent1" w:themeShade="BF"/>
    </w:rPr>
  </w:style>
  <w:style w:type="character" w:styleId="IntenseReference">
    <w:name w:val="Intense Reference"/>
    <w:basedOn w:val="DefaultParagraphFont"/>
    <w:uiPriority w:val="32"/>
    <w:qFormat/>
    <w:rsid w:val="009A3C1E"/>
    <w:rPr>
      <w:b/>
      <w:bCs/>
      <w:smallCaps/>
      <w:color w:val="0F4761" w:themeColor="accent1" w:themeShade="BF"/>
      <w:spacing w:val="5"/>
    </w:rPr>
  </w:style>
  <w:style w:type="table" w:styleId="TableGrid">
    <w:name w:val="Table Grid"/>
    <w:basedOn w:val="TableNormal"/>
    <w:uiPriority w:val="39"/>
    <w:rsid w:val="00B73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3985"/>
    <w:rPr>
      <w:sz w:val="16"/>
      <w:szCs w:val="16"/>
    </w:rPr>
  </w:style>
  <w:style w:type="paragraph" w:styleId="CommentText">
    <w:name w:val="annotation text"/>
    <w:basedOn w:val="Normal"/>
    <w:link w:val="CommentTextChar"/>
    <w:uiPriority w:val="99"/>
    <w:unhideWhenUsed/>
    <w:rsid w:val="002F3985"/>
    <w:pPr>
      <w:spacing w:line="240" w:lineRule="auto"/>
    </w:pPr>
    <w:rPr>
      <w:sz w:val="20"/>
      <w:szCs w:val="20"/>
    </w:rPr>
  </w:style>
  <w:style w:type="character" w:customStyle="1" w:styleId="CommentTextChar">
    <w:name w:val="Comment Text Char"/>
    <w:basedOn w:val="DefaultParagraphFont"/>
    <w:link w:val="CommentText"/>
    <w:uiPriority w:val="99"/>
    <w:rsid w:val="002F3985"/>
    <w:rPr>
      <w:sz w:val="20"/>
      <w:szCs w:val="20"/>
    </w:rPr>
  </w:style>
  <w:style w:type="paragraph" w:styleId="CommentSubject">
    <w:name w:val="annotation subject"/>
    <w:basedOn w:val="CommentText"/>
    <w:next w:val="CommentText"/>
    <w:link w:val="CommentSubjectChar"/>
    <w:uiPriority w:val="99"/>
    <w:semiHidden/>
    <w:unhideWhenUsed/>
    <w:rsid w:val="002F3985"/>
    <w:rPr>
      <w:b/>
      <w:bCs/>
    </w:rPr>
  </w:style>
  <w:style w:type="character" w:customStyle="1" w:styleId="CommentSubjectChar">
    <w:name w:val="Comment Subject Char"/>
    <w:basedOn w:val="CommentTextChar"/>
    <w:link w:val="CommentSubject"/>
    <w:uiPriority w:val="99"/>
    <w:semiHidden/>
    <w:rsid w:val="002F3985"/>
    <w:rPr>
      <w:b/>
      <w:bCs/>
      <w:sz w:val="20"/>
      <w:szCs w:val="20"/>
    </w:rPr>
  </w:style>
  <w:style w:type="paragraph" w:styleId="Header">
    <w:name w:val="header"/>
    <w:basedOn w:val="Normal"/>
    <w:link w:val="HeaderChar"/>
    <w:uiPriority w:val="99"/>
    <w:unhideWhenUsed/>
    <w:rsid w:val="00B80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B2B"/>
  </w:style>
  <w:style w:type="paragraph" w:styleId="Footer">
    <w:name w:val="footer"/>
    <w:basedOn w:val="Normal"/>
    <w:link w:val="FooterChar"/>
    <w:uiPriority w:val="99"/>
    <w:unhideWhenUsed/>
    <w:rsid w:val="00B80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B2B"/>
  </w:style>
  <w:style w:type="paragraph" w:styleId="Revision">
    <w:name w:val="Revision"/>
    <w:hidden/>
    <w:uiPriority w:val="99"/>
    <w:semiHidden/>
    <w:rsid w:val="00357F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70</TotalTime>
  <Pages>3</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Daniel (HCR)</dc:creator>
  <cp:keywords/>
  <dc:description/>
  <cp:lastModifiedBy>Patton, Tara</cp:lastModifiedBy>
  <cp:revision>6</cp:revision>
  <dcterms:created xsi:type="dcterms:W3CDTF">2026-07-01T17:03:00Z</dcterms:created>
  <dcterms:modified xsi:type="dcterms:W3CDTF">2026-07-07T16:23:00Z</dcterms:modified>
</cp:coreProperties>
</file>